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7FED0" w14:textId="77777777" w:rsidR="00B4266B" w:rsidRPr="0098127B" w:rsidRDefault="00B4266B" w:rsidP="00B4266B">
      <w:pPr>
        <w:spacing w:line="360" w:lineRule="auto"/>
        <w:jc w:val="center"/>
        <w:rPr>
          <w:rFonts w:asciiTheme="majorBidi" w:hAnsiTheme="majorBidi" w:cstheme="majorBidi"/>
          <w:b/>
          <w:bCs/>
          <w:sz w:val="32"/>
          <w:szCs w:val="36"/>
        </w:rPr>
      </w:pPr>
      <w:r w:rsidRPr="0098127B">
        <w:rPr>
          <w:rFonts w:asciiTheme="majorBidi" w:hAnsiTheme="majorBidi" w:cstheme="majorBidi"/>
          <w:b/>
          <w:bCs/>
          <w:noProof/>
          <w:sz w:val="32"/>
          <w:szCs w:val="36"/>
          <w:lang w:val="en-US"/>
        </w:rPr>
        <w:drawing>
          <wp:inline distT="0" distB="0" distL="0" distR="0" wp14:anchorId="1D6CEDAC" wp14:editId="76E6A0BE">
            <wp:extent cx="2080260" cy="1775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r="2933" b="17157"/>
                    <a:stretch/>
                  </pic:blipFill>
                  <pic:spPr bwMode="auto">
                    <a:xfrm>
                      <a:off x="0" y="0"/>
                      <a:ext cx="2080260" cy="1775460"/>
                    </a:xfrm>
                    <a:prstGeom prst="ellipse">
                      <a:avLst/>
                    </a:prstGeom>
                    <a:ln>
                      <a:noFill/>
                    </a:ln>
                    <a:extLst>
                      <a:ext uri="{53640926-AAD7-44D8-BBD7-CCE9431645EC}">
                        <a14:shadowObscured xmlns:a14="http://schemas.microsoft.com/office/drawing/2010/main"/>
                      </a:ext>
                    </a:extLst>
                  </pic:spPr>
                </pic:pic>
              </a:graphicData>
            </a:graphic>
          </wp:inline>
        </w:drawing>
      </w:r>
    </w:p>
    <w:p w14:paraId="3E971DC5" w14:textId="77777777" w:rsidR="00B4266B" w:rsidRPr="006A4C61" w:rsidRDefault="00B4266B" w:rsidP="00B4266B">
      <w:pPr>
        <w:spacing w:line="360" w:lineRule="auto"/>
        <w:jc w:val="center"/>
        <w:rPr>
          <w:rFonts w:asciiTheme="majorBidi" w:hAnsiTheme="majorBidi" w:cstheme="majorBidi"/>
          <w:sz w:val="28"/>
          <w:szCs w:val="28"/>
        </w:rPr>
      </w:pPr>
      <w:r w:rsidRPr="006A4C61">
        <w:rPr>
          <w:rFonts w:asciiTheme="majorBidi" w:hAnsiTheme="majorBidi" w:cstheme="majorBidi"/>
          <w:sz w:val="28"/>
          <w:szCs w:val="28"/>
        </w:rPr>
        <w:t>Bu-Ali Sina University</w:t>
      </w:r>
    </w:p>
    <w:p w14:paraId="465DEED9" w14:textId="77777777" w:rsidR="00B4266B" w:rsidRPr="006A4C61" w:rsidRDefault="00000000" w:rsidP="00B4266B">
      <w:pPr>
        <w:spacing w:line="360" w:lineRule="auto"/>
        <w:jc w:val="center"/>
        <w:rPr>
          <w:rFonts w:asciiTheme="majorBidi" w:hAnsiTheme="majorBidi" w:cstheme="majorBidi"/>
          <w:sz w:val="28"/>
          <w:szCs w:val="28"/>
        </w:rPr>
      </w:pPr>
      <w:hyperlink r:id="rId9" w:history="1">
        <w:r w:rsidR="00B4266B" w:rsidRPr="006A4C61">
          <w:rPr>
            <w:rFonts w:asciiTheme="majorBidi" w:hAnsiTheme="majorBidi" w:cstheme="majorBidi"/>
            <w:sz w:val="28"/>
            <w:szCs w:val="28"/>
          </w:rPr>
          <w:t>Faculty of Humanities</w:t>
        </w:r>
      </w:hyperlink>
    </w:p>
    <w:p w14:paraId="1CA0E455" w14:textId="77777777" w:rsidR="00B4266B" w:rsidRPr="006A4C61" w:rsidRDefault="00B4266B" w:rsidP="00B4266B">
      <w:pPr>
        <w:spacing w:line="360" w:lineRule="auto"/>
        <w:jc w:val="center"/>
        <w:rPr>
          <w:rFonts w:asciiTheme="majorBidi" w:hAnsiTheme="majorBidi" w:cstheme="majorBidi"/>
          <w:sz w:val="28"/>
          <w:szCs w:val="28"/>
        </w:rPr>
      </w:pPr>
      <w:r w:rsidRPr="006A4C61">
        <w:rPr>
          <w:rFonts w:asciiTheme="majorBidi" w:hAnsiTheme="majorBidi" w:cstheme="majorBidi"/>
          <w:sz w:val="28"/>
          <w:szCs w:val="28"/>
        </w:rPr>
        <w:t>Department of English</w:t>
      </w:r>
    </w:p>
    <w:p w14:paraId="63646120" w14:textId="77777777" w:rsidR="00B4266B" w:rsidRPr="003618BC" w:rsidRDefault="00B4266B" w:rsidP="00B4266B">
      <w:pPr>
        <w:spacing w:line="360" w:lineRule="auto"/>
        <w:jc w:val="center"/>
        <w:rPr>
          <w:rFonts w:asciiTheme="majorBidi" w:hAnsiTheme="majorBidi" w:cstheme="majorBidi"/>
          <w:b/>
          <w:bCs/>
          <w:sz w:val="32"/>
          <w:szCs w:val="36"/>
        </w:rPr>
      </w:pPr>
    </w:p>
    <w:p w14:paraId="1CEEF712" w14:textId="77777777" w:rsidR="00B4266B" w:rsidRPr="003618BC" w:rsidRDefault="00B4266B" w:rsidP="00B4266B">
      <w:pPr>
        <w:spacing w:line="360" w:lineRule="auto"/>
        <w:jc w:val="center"/>
        <w:rPr>
          <w:rFonts w:asciiTheme="majorBidi" w:hAnsiTheme="majorBidi" w:cstheme="majorBidi"/>
          <w:b/>
          <w:bCs/>
          <w:sz w:val="28"/>
          <w:szCs w:val="28"/>
        </w:rPr>
      </w:pPr>
      <w:r w:rsidRPr="003618BC">
        <w:rPr>
          <w:rFonts w:asciiTheme="majorBidi" w:hAnsiTheme="majorBidi" w:cstheme="majorBidi"/>
          <w:b/>
          <w:bCs/>
          <w:sz w:val="28"/>
          <w:szCs w:val="28"/>
        </w:rPr>
        <w:t>Title:</w:t>
      </w:r>
    </w:p>
    <w:p w14:paraId="16893D57" w14:textId="77777777" w:rsidR="00B4266B" w:rsidRPr="003618BC" w:rsidRDefault="00B4266B" w:rsidP="00B4266B">
      <w:pPr>
        <w:spacing w:line="360" w:lineRule="auto"/>
        <w:jc w:val="center"/>
        <w:rPr>
          <w:rFonts w:asciiTheme="majorBidi" w:hAnsiTheme="majorBidi" w:cstheme="majorBidi"/>
          <w:b/>
          <w:bCs/>
          <w:sz w:val="28"/>
          <w:szCs w:val="28"/>
        </w:rPr>
      </w:pPr>
      <w:bookmarkStart w:id="0" w:name="_Hlk218018524"/>
      <w:r w:rsidRPr="003618BC">
        <w:rPr>
          <w:rFonts w:asciiTheme="majorBidi" w:hAnsiTheme="majorBidi" w:cstheme="majorBidi"/>
          <w:b/>
          <w:bCs/>
          <w:sz w:val="28"/>
          <w:szCs w:val="28"/>
        </w:rPr>
        <w:t>A Comparative Study of English Language Curriculum Content in Iraqi and Iranian Secondary School Textbooks</w:t>
      </w:r>
    </w:p>
    <w:bookmarkEnd w:id="0"/>
    <w:p w14:paraId="2A02F73E" w14:textId="77777777" w:rsidR="00B4266B" w:rsidRPr="006A4C61" w:rsidRDefault="00B4266B" w:rsidP="00B4266B">
      <w:pPr>
        <w:spacing w:line="360" w:lineRule="auto"/>
        <w:jc w:val="center"/>
        <w:rPr>
          <w:rFonts w:asciiTheme="majorBidi" w:hAnsiTheme="majorBidi" w:cstheme="majorBidi"/>
          <w:sz w:val="28"/>
          <w:szCs w:val="28"/>
        </w:rPr>
      </w:pPr>
    </w:p>
    <w:p w14:paraId="4ED3C7AF" w14:textId="77777777" w:rsidR="00B4266B" w:rsidRPr="006A4C61" w:rsidRDefault="00B4266B" w:rsidP="00B4266B">
      <w:pPr>
        <w:spacing w:line="360" w:lineRule="auto"/>
        <w:jc w:val="center"/>
        <w:rPr>
          <w:rFonts w:asciiTheme="majorBidi" w:hAnsiTheme="majorBidi" w:cstheme="majorBidi"/>
          <w:sz w:val="28"/>
          <w:szCs w:val="28"/>
        </w:rPr>
      </w:pPr>
      <w:r w:rsidRPr="006A4C61">
        <w:rPr>
          <w:rFonts w:asciiTheme="majorBidi" w:hAnsiTheme="majorBidi" w:cstheme="majorBidi"/>
          <w:sz w:val="28"/>
          <w:szCs w:val="28"/>
        </w:rPr>
        <w:t xml:space="preserve">Supervisor: </w:t>
      </w:r>
    </w:p>
    <w:p w14:paraId="2DA06D53" w14:textId="77777777" w:rsidR="00B4266B" w:rsidRPr="006A4C61" w:rsidRDefault="00B4266B" w:rsidP="00B4266B">
      <w:pPr>
        <w:spacing w:line="360" w:lineRule="auto"/>
        <w:jc w:val="center"/>
        <w:rPr>
          <w:rFonts w:asciiTheme="majorBidi" w:hAnsiTheme="majorBidi" w:cstheme="majorBidi"/>
          <w:sz w:val="28"/>
          <w:szCs w:val="28"/>
          <w:lang w:val="en-GB"/>
        </w:rPr>
      </w:pPr>
      <w:r w:rsidRPr="006A4C61">
        <w:rPr>
          <w:rFonts w:asciiTheme="majorBidi" w:hAnsiTheme="majorBidi" w:cstheme="majorBidi"/>
          <w:sz w:val="28"/>
          <w:szCs w:val="28"/>
        </w:rPr>
        <w:t>Dr. Mohammad Hadi Mahmoodi</w:t>
      </w:r>
    </w:p>
    <w:p w14:paraId="2E5A71AF" w14:textId="54946569" w:rsidR="006A4C61" w:rsidRPr="006A4C61" w:rsidRDefault="006A4C61" w:rsidP="006A4C61">
      <w:pPr>
        <w:spacing w:line="480" w:lineRule="auto"/>
        <w:jc w:val="center"/>
        <w:rPr>
          <w:rFonts w:ascii="Times New Roman" w:hAnsi="Times New Roman" w:cs="Times New Roman"/>
          <w:sz w:val="28"/>
          <w:szCs w:val="28"/>
          <w:rtl/>
          <w:lang w:val="en-US"/>
        </w:rPr>
      </w:pPr>
      <w:r w:rsidRPr="006A4C61">
        <w:rPr>
          <w:rFonts w:ascii="Times New Roman" w:hAnsi="Times New Roman" w:cs="Times New Roman"/>
          <w:sz w:val="28"/>
          <w:szCs w:val="28"/>
          <w:lang w:val="en-US"/>
        </w:rPr>
        <w:t>Advisor:</w:t>
      </w:r>
    </w:p>
    <w:p w14:paraId="7E8EE071" w14:textId="70C9934F" w:rsidR="00B4266B" w:rsidRPr="006A4C61" w:rsidRDefault="00310A27" w:rsidP="006A4C61">
      <w:pPr>
        <w:spacing w:line="360" w:lineRule="auto"/>
        <w:jc w:val="center"/>
        <w:rPr>
          <w:rFonts w:asciiTheme="majorBidi" w:hAnsiTheme="majorBidi"/>
          <w:sz w:val="28"/>
          <w:szCs w:val="28"/>
        </w:rPr>
      </w:pPr>
      <w:r>
        <w:rPr>
          <w:rFonts w:asciiTheme="majorBidi" w:hAnsiTheme="majorBidi"/>
          <w:sz w:val="28"/>
          <w:szCs w:val="28"/>
        </w:rPr>
        <w:t xml:space="preserve">Dr. </w:t>
      </w:r>
      <w:r w:rsidR="006A4C61" w:rsidRPr="006A4C61">
        <w:rPr>
          <w:rFonts w:asciiTheme="majorBidi" w:hAnsiTheme="majorBidi"/>
          <w:sz w:val="28"/>
          <w:szCs w:val="28"/>
        </w:rPr>
        <w:t>Hamidreza Sheykholmoluki</w:t>
      </w:r>
    </w:p>
    <w:p w14:paraId="4A454058" w14:textId="77777777" w:rsidR="00B4266B" w:rsidRPr="006A4C61" w:rsidRDefault="00B4266B" w:rsidP="00B4266B">
      <w:pPr>
        <w:spacing w:line="360" w:lineRule="auto"/>
        <w:jc w:val="center"/>
        <w:rPr>
          <w:rFonts w:asciiTheme="majorBidi" w:hAnsiTheme="majorBidi" w:cstheme="majorBidi"/>
          <w:sz w:val="28"/>
          <w:szCs w:val="28"/>
        </w:rPr>
      </w:pPr>
      <w:r w:rsidRPr="006A4C61">
        <w:rPr>
          <w:rFonts w:asciiTheme="majorBidi" w:hAnsiTheme="majorBidi" w:cstheme="majorBidi"/>
          <w:sz w:val="28"/>
          <w:szCs w:val="28"/>
        </w:rPr>
        <w:t xml:space="preserve">By: </w:t>
      </w:r>
    </w:p>
    <w:p w14:paraId="5DC23C05" w14:textId="77777777" w:rsidR="00B4266B" w:rsidRPr="006A4C61" w:rsidRDefault="00B4266B" w:rsidP="00B4266B">
      <w:pPr>
        <w:spacing w:line="360" w:lineRule="auto"/>
        <w:jc w:val="center"/>
        <w:rPr>
          <w:rFonts w:asciiTheme="majorBidi" w:hAnsiTheme="majorBidi" w:cstheme="majorBidi"/>
          <w:sz w:val="28"/>
          <w:szCs w:val="28"/>
        </w:rPr>
      </w:pPr>
      <w:r w:rsidRPr="006A4C61">
        <w:rPr>
          <w:rFonts w:asciiTheme="majorBidi" w:hAnsiTheme="majorBidi" w:cstheme="majorBidi"/>
          <w:sz w:val="28"/>
          <w:szCs w:val="28"/>
        </w:rPr>
        <w:t>Randa Hussein Najm</w:t>
      </w:r>
    </w:p>
    <w:p w14:paraId="7F8573AA" w14:textId="77777777" w:rsidR="00B4266B" w:rsidRPr="006A4C61" w:rsidRDefault="00B4266B" w:rsidP="00B4266B">
      <w:pPr>
        <w:spacing w:line="360" w:lineRule="auto"/>
        <w:jc w:val="center"/>
        <w:rPr>
          <w:rFonts w:asciiTheme="majorBidi" w:hAnsiTheme="majorBidi" w:cstheme="majorBidi"/>
          <w:sz w:val="28"/>
          <w:szCs w:val="28"/>
        </w:rPr>
      </w:pPr>
    </w:p>
    <w:p w14:paraId="60E9C580" w14:textId="7AF5E18A" w:rsidR="0002629E" w:rsidRPr="006A4C61" w:rsidRDefault="00C941D9" w:rsidP="00B4266B">
      <w:pPr>
        <w:spacing w:line="480" w:lineRule="auto"/>
        <w:jc w:val="center"/>
        <w:rPr>
          <w:rFonts w:asciiTheme="majorBidi" w:hAnsiTheme="majorBidi" w:cstheme="majorBidi"/>
          <w:sz w:val="28"/>
          <w:szCs w:val="28"/>
        </w:rPr>
      </w:pPr>
      <w:r w:rsidRPr="006A4C61">
        <w:rPr>
          <w:rFonts w:asciiTheme="majorBidi" w:hAnsiTheme="majorBidi" w:cstheme="majorBidi"/>
          <w:sz w:val="28"/>
          <w:szCs w:val="28"/>
        </w:rPr>
        <w:t>January</w:t>
      </w:r>
      <w:r w:rsidR="003E33D4" w:rsidRPr="006A4C61">
        <w:rPr>
          <w:rFonts w:asciiTheme="majorBidi" w:hAnsiTheme="majorBidi" w:cstheme="majorBidi"/>
          <w:sz w:val="28"/>
          <w:szCs w:val="28"/>
        </w:rPr>
        <w:t>,</w:t>
      </w:r>
      <w:r w:rsidR="00B4266B" w:rsidRPr="006A4C61">
        <w:rPr>
          <w:rFonts w:asciiTheme="majorBidi" w:hAnsiTheme="majorBidi" w:cstheme="majorBidi"/>
          <w:sz w:val="28"/>
          <w:szCs w:val="28"/>
        </w:rPr>
        <w:t xml:space="preserve"> 202</w:t>
      </w:r>
      <w:r w:rsidRPr="006A4C61">
        <w:rPr>
          <w:rFonts w:asciiTheme="majorBidi" w:hAnsiTheme="majorBidi" w:cstheme="majorBidi"/>
          <w:sz w:val="28"/>
          <w:szCs w:val="28"/>
        </w:rPr>
        <w:t>6</w:t>
      </w:r>
    </w:p>
    <w:p w14:paraId="7FF89766" w14:textId="77777777" w:rsidR="006F5BA4" w:rsidRPr="0098127B" w:rsidRDefault="006F5BA4" w:rsidP="006F5BA4">
      <w:pPr>
        <w:spacing w:after="200" w:line="360" w:lineRule="auto"/>
        <w:jc w:val="center"/>
        <w:rPr>
          <w:rFonts w:ascii="Times New Roman" w:eastAsia="Calibri" w:hAnsi="Times New Roman" w:cs="Times New Roman"/>
          <w:b/>
          <w:bCs/>
          <w:sz w:val="32"/>
          <w:szCs w:val="32"/>
          <w:lang w:val="en-US" w:bidi="fa-IR"/>
        </w:rPr>
      </w:pPr>
      <w:r w:rsidRPr="0098127B">
        <w:rPr>
          <w:rFonts w:ascii="Times New Roman" w:eastAsia="Calibri" w:hAnsi="Times New Roman" w:cs="Times New Roman"/>
          <w:b/>
          <w:bCs/>
          <w:sz w:val="32"/>
          <w:szCs w:val="32"/>
          <w:lang w:val="en-US" w:bidi="fa-IR"/>
        </w:rPr>
        <w:lastRenderedPageBreak/>
        <w:t>Dedication</w:t>
      </w:r>
    </w:p>
    <w:p w14:paraId="4ECC0D1B" w14:textId="09504AF6" w:rsidR="006F5BA4" w:rsidRPr="0098127B" w:rsidRDefault="00E33133" w:rsidP="006F5BA4">
      <w:pPr>
        <w:spacing w:after="200" w:line="480" w:lineRule="auto"/>
        <w:jc w:val="both"/>
        <w:rPr>
          <w:rFonts w:ascii="Times New Roman" w:eastAsia="Calibri" w:hAnsi="Times New Roman" w:cs="Times New Roman"/>
          <w:sz w:val="24"/>
          <w:szCs w:val="24"/>
          <w:lang w:val="en-US" w:bidi="fa-IR"/>
        </w:rPr>
      </w:pPr>
      <w:r w:rsidRPr="0098127B">
        <w:rPr>
          <w:rFonts w:ascii="Times New Roman" w:eastAsia="Calibri" w:hAnsi="Times New Roman" w:cs="Times New Roman"/>
          <w:sz w:val="24"/>
          <w:szCs w:val="24"/>
          <w:lang w:val="en-US" w:bidi="fa-IR"/>
        </w:rPr>
        <w:t>To my family</w:t>
      </w:r>
    </w:p>
    <w:p w14:paraId="051F925D" w14:textId="77777777" w:rsidR="006F5BA4" w:rsidRPr="0098127B" w:rsidRDefault="006F5BA4" w:rsidP="006F5BA4">
      <w:pPr>
        <w:spacing w:after="200" w:line="480" w:lineRule="auto"/>
        <w:jc w:val="both"/>
        <w:rPr>
          <w:rFonts w:ascii="Times New Roman" w:eastAsia="Calibri" w:hAnsi="Times New Roman" w:cs="Times New Roman"/>
          <w:b/>
          <w:bCs/>
          <w:sz w:val="28"/>
          <w:szCs w:val="28"/>
          <w:lang w:val="en-US" w:bidi="fa-IR"/>
        </w:rPr>
      </w:pPr>
    </w:p>
    <w:p w14:paraId="273EAD30" w14:textId="77777777" w:rsidR="006F5BA4" w:rsidRPr="0098127B" w:rsidRDefault="006F5BA4" w:rsidP="006F5BA4">
      <w:pPr>
        <w:spacing w:after="200" w:line="480" w:lineRule="auto"/>
        <w:jc w:val="both"/>
        <w:rPr>
          <w:rFonts w:ascii="Times New Roman" w:eastAsia="Calibri" w:hAnsi="Times New Roman" w:cs="Times New Roman"/>
          <w:b/>
          <w:bCs/>
          <w:sz w:val="28"/>
          <w:szCs w:val="28"/>
          <w:lang w:val="en-US" w:bidi="fa-IR"/>
        </w:rPr>
      </w:pPr>
    </w:p>
    <w:p w14:paraId="2A86D525"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11ABA397"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00AFA5B6"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6D74E007"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37C34D21"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5A72AF3F"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7CB9EFEE"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04367AD2"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3912796B"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14C8E161"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797B021A"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7F0CA4AA" w14:textId="1B0B1BE0"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14391E58" w14:textId="6E4DD1C2"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3A74FDBB" w14:textId="3536CB52"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1222E135" w14:textId="77777777" w:rsidR="006F5BA4" w:rsidRPr="0098127B" w:rsidRDefault="006F5BA4" w:rsidP="006F5BA4">
      <w:pPr>
        <w:spacing w:after="200" w:line="360" w:lineRule="auto"/>
        <w:jc w:val="both"/>
        <w:rPr>
          <w:rFonts w:ascii="Times New Roman" w:eastAsia="Calibri" w:hAnsi="Times New Roman" w:cs="Times New Roman"/>
          <w:b/>
          <w:bCs/>
          <w:sz w:val="28"/>
          <w:szCs w:val="28"/>
          <w:lang w:val="en-US" w:bidi="fa-IR"/>
        </w:rPr>
      </w:pPr>
    </w:p>
    <w:p w14:paraId="23160C77" w14:textId="77777777" w:rsidR="006F5BA4" w:rsidRPr="0098127B" w:rsidRDefault="006F5BA4" w:rsidP="006F5BA4">
      <w:pPr>
        <w:spacing w:after="200" w:line="360" w:lineRule="auto"/>
        <w:rPr>
          <w:rFonts w:ascii="Times New Roman" w:eastAsia="Calibri" w:hAnsi="Times New Roman" w:cs="Times New Roman"/>
          <w:b/>
          <w:bCs/>
          <w:sz w:val="28"/>
          <w:szCs w:val="28"/>
          <w:lang w:val="en-US" w:bidi="fa-IR"/>
        </w:rPr>
      </w:pPr>
    </w:p>
    <w:p w14:paraId="1FE8EAB4" w14:textId="77777777" w:rsidR="006F5BA4" w:rsidRPr="0098127B" w:rsidRDefault="006F5BA4" w:rsidP="006F5BA4">
      <w:pPr>
        <w:spacing w:after="200" w:line="480" w:lineRule="auto"/>
        <w:jc w:val="center"/>
        <w:rPr>
          <w:rFonts w:ascii="Times New Roman" w:eastAsia="Calibri" w:hAnsi="Times New Roman" w:cs="Times New Roman"/>
          <w:b/>
          <w:bCs/>
          <w:sz w:val="32"/>
          <w:szCs w:val="32"/>
          <w:lang w:val="en-US" w:bidi="fa-IR"/>
        </w:rPr>
      </w:pPr>
      <w:r w:rsidRPr="0098127B">
        <w:rPr>
          <w:rFonts w:ascii="Times New Roman" w:eastAsia="Calibri" w:hAnsi="Times New Roman" w:cs="Times New Roman"/>
          <w:b/>
          <w:bCs/>
          <w:sz w:val="32"/>
          <w:szCs w:val="32"/>
          <w:lang w:val="en-US" w:bidi="fa-IR"/>
        </w:rPr>
        <w:lastRenderedPageBreak/>
        <w:t>Acknowledgements</w:t>
      </w:r>
    </w:p>
    <w:p w14:paraId="633F34D1" w14:textId="49E985CC" w:rsidR="00E33133" w:rsidRPr="00E33133" w:rsidRDefault="00E33133" w:rsidP="00E33133">
      <w:pPr>
        <w:tabs>
          <w:tab w:val="right" w:pos="0"/>
        </w:tabs>
        <w:spacing w:after="200" w:line="480" w:lineRule="auto"/>
        <w:jc w:val="both"/>
        <w:rPr>
          <w:rFonts w:ascii="Times New Roman" w:eastAsia="Calibri" w:hAnsi="Times New Roman" w:cs="Times New Roman"/>
          <w:sz w:val="24"/>
          <w:szCs w:val="24"/>
          <w:lang w:bidi="fa-IR"/>
        </w:rPr>
      </w:pPr>
      <w:r w:rsidRPr="0098127B">
        <w:rPr>
          <w:rFonts w:ascii="Times New Roman" w:eastAsia="Calibri" w:hAnsi="Times New Roman" w:cs="Times New Roman"/>
          <w:sz w:val="24"/>
          <w:szCs w:val="24"/>
          <w:lang w:bidi="fa-IR"/>
        </w:rPr>
        <w:tab/>
      </w:r>
      <w:r w:rsidRPr="00E33133">
        <w:rPr>
          <w:rFonts w:ascii="Times New Roman" w:eastAsia="Calibri" w:hAnsi="Times New Roman" w:cs="Times New Roman"/>
          <w:sz w:val="24"/>
          <w:szCs w:val="24"/>
          <w:lang w:bidi="fa-IR"/>
        </w:rPr>
        <w:t>I would like to express my deepest gratitude to Dr. Mohammad Hadi Mahmoodi, my supervisor,</w:t>
      </w:r>
      <w:r w:rsidR="00310A27">
        <w:rPr>
          <w:rFonts w:ascii="Times New Roman" w:eastAsia="Calibri" w:hAnsi="Times New Roman" w:cs="Times New Roman"/>
          <w:sz w:val="24"/>
          <w:szCs w:val="24"/>
          <w:lang w:val="en-US" w:bidi="fa-IR"/>
        </w:rPr>
        <w:t xml:space="preserve"> and Dr.</w:t>
      </w:r>
      <w:r w:rsidRPr="00E33133">
        <w:rPr>
          <w:rFonts w:ascii="Times New Roman" w:eastAsia="Calibri" w:hAnsi="Times New Roman" w:cs="Times New Roman"/>
          <w:sz w:val="24"/>
          <w:szCs w:val="24"/>
          <w:lang w:bidi="fa-IR"/>
        </w:rPr>
        <w:t xml:space="preserve"> </w:t>
      </w:r>
      <w:r w:rsidR="00310A27" w:rsidRPr="00310A27">
        <w:rPr>
          <w:rFonts w:ascii="Times New Roman" w:eastAsia="Calibri" w:hAnsi="Times New Roman" w:cs="Times New Roman"/>
          <w:sz w:val="24"/>
          <w:szCs w:val="24"/>
          <w:lang w:bidi="fa-IR"/>
        </w:rPr>
        <w:t>Hamidreza Sheykholmoluki</w:t>
      </w:r>
      <w:r w:rsidR="00310A27">
        <w:rPr>
          <w:rFonts w:ascii="Times New Roman" w:eastAsia="Calibri" w:hAnsi="Times New Roman" w:cs="Times New Roman"/>
          <w:sz w:val="24"/>
          <w:szCs w:val="24"/>
          <w:lang w:bidi="fa-IR"/>
        </w:rPr>
        <w:t>, my advisor,</w:t>
      </w:r>
      <w:r w:rsidR="00310A27" w:rsidRPr="00310A27">
        <w:rPr>
          <w:rFonts w:ascii="Times New Roman" w:eastAsia="Calibri" w:hAnsi="Times New Roman" w:cs="Times New Roman"/>
          <w:sz w:val="24"/>
          <w:szCs w:val="24"/>
          <w:lang w:bidi="fa-IR"/>
        </w:rPr>
        <w:t xml:space="preserve"> </w:t>
      </w:r>
      <w:r w:rsidRPr="00E33133">
        <w:rPr>
          <w:rFonts w:ascii="Times New Roman" w:eastAsia="Calibri" w:hAnsi="Times New Roman" w:cs="Times New Roman"/>
          <w:sz w:val="24"/>
          <w:szCs w:val="24"/>
          <w:lang w:bidi="fa-IR"/>
        </w:rPr>
        <w:t xml:space="preserve">for </w:t>
      </w:r>
      <w:r w:rsidR="00310A27">
        <w:rPr>
          <w:rFonts w:ascii="Times New Roman" w:eastAsia="Calibri" w:hAnsi="Times New Roman" w:cs="Times New Roman"/>
          <w:sz w:val="24"/>
          <w:szCs w:val="24"/>
          <w:lang w:bidi="fa-IR"/>
        </w:rPr>
        <w:t>their</w:t>
      </w:r>
      <w:r w:rsidRPr="00E33133">
        <w:rPr>
          <w:rFonts w:ascii="Times New Roman" w:eastAsia="Calibri" w:hAnsi="Times New Roman" w:cs="Times New Roman"/>
          <w:sz w:val="24"/>
          <w:szCs w:val="24"/>
          <w:lang w:bidi="fa-IR"/>
        </w:rPr>
        <w:t xml:space="preserve"> invaluable guidance, constant support, and thoughtful feedback throughout every stage of this research. </w:t>
      </w:r>
      <w:r w:rsidR="00310A27">
        <w:rPr>
          <w:rFonts w:ascii="Times New Roman" w:eastAsia="Calibri" w:hAnsi="Times New Roman" w:cs="Times New Roman"/>
          <w:sz w:val="24"/>
          <w:szCs w:val="24"/>
          <w:lang w:bidi="fa-IR"/>
        </w:rPr>
        <w:t>Their</w:t>
      </w:r>
      <w:r w:rsidR="00310A27" w:rsidRPr="00E33133">
        <w:rPr>
          <w:rFonts w:ascii="Times New Roman" w:eastAsia="Calibri" w:hAnsi="Times New Roman" w:cs="Times New Roman"/>
          <w:sz w:val="24"/>
          <w:szCs w:val="24"/>
          <w:lang w:bidi="fa-IR"/>
        </w:rPr>
        <w:t xml:space="preserve"> </w:t>
      </w:r>
      <w:r w:rsidRPr="00E33133">
        <w:rPr>
          <w:rFonts w:ascii="Times New Roman" w:eastAsia="Calibri" w:hAnsi="Times New Roman" w:cs="Times New Roman"/>
          <w:sz w:val="24"/>
          <w:szCs w:val="24"/>
          <w:lang w:bidi="fa-IR"/>
        </w:rPr>
        <w:t xml:space="preserve">expertise, encouragement, and patience were instrumental in shaping the direction and quality of this thesis. I am sincerely thankful for the time and commitment </w:t>
      </w:r>
      <w:r w:rsidR="00310A27">
        <w:rPr>
          <w:rFonts w:ascii="Times New Roman" w:eastAsia="Calibri" w:hAnsi="Times New Roman" w:cs="Times New Roman"/>
          <w:sz w:val="24"/>
          <w:szCs w:val="24"/>
          <w:lang w:bidi="fa-IR"/>
        </w:rPr>
        <w:t>they</w:t>
      </w:r>
      <w:r w:rsidRPr="00E33133">
        <w:rPr>
          <w:rFonts w:ascii="Times New Roman" w:eastAsia="Calibri" w:hAnsi="Times New Roman" w:cs="Times New Roman"/>
          <w:sz w:val="24"/>
          <w:szCs w:val="24"/>
          <w:lang w:bidi="fa-IR"/>
        </w:rPr>
        <w:t xml:space="preserve"> devoted to helping me develop both academically and professionally.</w:t>
      </w:r>
    </w:p>
    <w:p w14:paraId="27B6A422" w14:textId="77777777" w:rsidR="00E33133" w:rsidRPr="0098127B" w:rsidRDefault="00E33133" w:rsidP="00E33133">
      <w:pPr>
        <w:tabs>
          <w:tab w:val="right" w:pos="0"/>
        </w:tabs>
        <w:spacing w:after="200" w:line="480" w:lineRule="auto"/>
        <w:jc w:val="both"/>
        <w:rPr>
          <w:rFonts w:ascii="Times New Roman" w:eastAsia="Calibri" w:hAnsi="Times New Roman" w:cs="Times New Roman"/>
          <w:sz w:val="24"/>
          <w:szCs w:val="24"/>
          <w:lang w:bidi="fa-IR"/>
        </w:rPr>
      </w:pPr>
      <w:r w:rsidRPr="0098127B">
        <w:rPr>
          <w:rFonts w:ascii="Times New Roman" w:eastAsia="Calibri" w:hAnsi="Times New Roman" w:cs="Times New Roman"/>
          <w:sz w:val="24"/>
          <w:szCs w:val="24"/>
          <w:lang w:bidi="fa-IR"/>
        </w:rPr>
        <w:tab/>
      </w:r>
      <w:r w:rsidRPr="00E33133">
        <w:rPr>
          <w:rFonts w:ascii="Times New Roman" w:eastAsia="Calibri" w:hAnsi="Times New Roman" w:cs="Times New Roman"/>
          <w:sz w:val="24"/>
          <w:szCs w:val="24"/>
          <w:lang w:bidi="fa-IR"/>
        </w:rPr>
        <w:t>I also extend my appreciation to Bu-Ali Sina University for providing a supportive academic environment and the resources necessary to carry out this study. The intellectual community and facilities offered by the university played a significant role in enabling the successful completion of this work.</w:t>
      </w:r>
    </w:p>
    <w:p w14:paraId="6F80EB7C" w14:textId="24C37555" w:rsidR="00E33133" w:rsidRPr="00E33133" w:rsidRDefault="00E33133" w:rsidP="00E33133">
      <w:pPr>
        <w:tabs>
          <w:tab w:val="right" w:pos="0"/>
        </w:tabs>
        <w:spacing w:after="200" w:line="480" w:lineRule="auto"/>
        <w:jc w:val="both"/>
        <w:rPr>
          <w:rFonts w:ascii="Times New Roman" w:eastAsia="Calibri" w:hAnsi="Times New Roman" w:cs="Times New Roman"/>
          <w:sz w:val="24"/>
          <w:szCs w:val="24"/>
          <w:lang w:bidi="fa-IR"/>
        </w:rPr>
      </w:pPr>
      <w:r w:rsidRPr="0098127B">
        <w:rPr>
          <w:rFonts w:ascii="Times New Roman" w:eastAsia="Calibri" w:hAnsi="Times New Roman" w:cs="Times New Roman"/>
          <w:sz w:val="24"/>
          <w:szCs w:val="24"/>
          <w:lang w:bidi="fa-IR"/>
        </w:rPr>
        <w:tab/>
      </w:r>
      <w:r w:rsidRPr="00E33133">
        <w:rPr>
          <w:rFonts w:ascii="Times New Roman" w:eastAsia="Calibri" w:hAnsi="Times New Roman" w:cs="Times New Roman"/>
          <w:sz w:val="24"/>
          <w:szCs w:val="24"/>
          <w:lang w:bidi="fa-IR"/>
        </w:rPr>
        <w:t>Finally, I wish to thank all individuals who, directly or indirectly, contributed to my research journey. Their support, understanding, and encouragement have been deeply appreciated.</w:t>
      </w:r>
    </w:p>
    <w:p w14:paraId="7695D73D" w14:textId="77777777" w:rsidR="006F5BA4" w:rsidRPr="0098127B" w:rsidRDefault="006F5BA4" w:rsidP="006F5BA4">
      <w:pPr>
        <w:tabs>
          <w:tab w:val="right" w:pos="0"/>
        </w:tabs>
        <w:spacing w:after="200" w:line="480" w:lineRule="auto"/>
        <w:jc w:val="both"/>
        <w:rPr>
          <w:rFonts w:ascii="Times New Roman" w:eastAsia="Calibri" w:hAnsi="Times New Roman" w:cs="Times New Roman"/>
          <w:sz w:val="24"/>
          <w:szCs w:val="24"/>
          <w:lang w:val="en-US" w:bidi="fa-IR"/>
        </w:rPr>
      </w:pPr>
    </w:p>
    <w:p w14:paraId="6D6F2B5B" w14:textId="77777777" w:rsidR="006F5BA4" w:rsidRPr="0098127B" w:rsidRDefault="006F5BA4" w:rsidP="006F5BA4">
      <w:pPr>
        <w:tabs>
          <w:tab w:val="right" w:pos="720"/>
        </w:tabs>
        <w:spacing w:after="200" w:line="480" w:lineRule="auto"/>
        <w:jc w:val="both"/>
        <w:rPr>
          <w:rFonts w:ascii="Times New Roman" w:eastAsia="Calibri" w:hAnsi="Times New Roman" w:cs="Times New Roman"/>
          <w:lang w:val="en-US" w:bidi="fa-IR"/>
        </w:rPr>
      </w:pPr>
    </w:p>
    <w:p w14:paraId="5CDF26FC" w14:textId="77777777" w:rsidR="006F5BA4" w:rsidRPr="0098127B" w:rsidRDefault="006F5BA4" w:rsidP="006F5BA4">
      <w:pPr>
        <w:tabs>
          <w:tab w:val="right" w:pos="720"/>
        </w:tabs>
        <w:spacing w:after="200" w:line="480" w:lineRule="auto"/>
        <w:jc w:val="both"/>
        <w:rPr>
          <w:rFonts w:ascii="Times New Roman" w:eastAsia="Calibri" w:hAnsi="Times New Roman" w:cs="Times New Roman"/>
          <w:lang w:val="en-US" w:bidi="fa-IR"/>
        </w:rPr>
      </w:pPr>
    </w:p>
    <w:p w14:paraId="77E78528" w14:textId="77777777" w:rsidR="006F5BA4" w:rsidRPr="0098127B" w:rsidRDefault="006F5BA4" w:rsidP="006F5BA4">
      <w:pPr>
        <w:tabs>
          <w:tab w:val="right" w:pos="720"/>
        </w:tabs>
        <w:spacing w:after="200" w:line="480" w:lineRule="auto"/>
        <w:jc w:val="both"/>
        <w:rPr>
          <w:rFonts w:ascii="Times New Roman" w:eastAsia="Calibri" w:hAnsi="Times New Roman" w:cs="Times New Roman"/>
          <w:lang w:val="en-US" w:bidi="fa-IR"/>
        </w:rPr>
      </w:pPr>
    </w:p>
    <w:p w14:paraId="07EC5A27" w14:textId="77777777" w:rsidR="006F5BA4" w:rsidRPr="0098127B" w:rsidRDefault="006F5BA4" w:rsidP="006F5BA4">
      <w:pPr>
        <w:tabs>
          <w:tab w:val="right" w:pos="720"/>
        </w:tabs>
        <w:spacing w:after="200" w:line="480" w:lineRule="auto"/>
        <w:jc w:val="both"/>
        <w:rPr>
          <w:rFonts w:ascii="Times New Roman" w:eastAsia="Calibri" w:hAnsi="Times New Roman" w:cs="Times New Roman"/>
          <w:lang w:val="en-US" w:bidi="fa-IR"/>
        </w:rPr>
      </w:pPr>
    </w:p>
    <w:p w14:paraId="114B3F25" w14:textId="77777777" w:rsidR="006F5BA4" w:rsidRPr="0098127B" w:rsidRDefault="006F5BA4" w:rsidP="006F5BA4">
      <w:pPr>
        <w:tabs>
          <w:tab w:val="right" w:pos="720"/>
        </w:tabs>
        <w:spacing w:after="200" w:line="480" w:lineRule="auto"/>
        <w:jc w:val="both"/>
        <w:rPr>
          <w:rFonts w:ascii="Times New Roman" w:eastAsia="Calibri" w:hAnsi="Times New Roman" w:cs="Times New Roman"/>
          <w:lang w:val="en-US" w:bidi="fa-IR"/>
        </w:rPr>
      </w:pPr>
    </w:p>
    <w:p w14:paraId="146C6CE4" w14:textId="77777777" w:rsidR="006F5BA4" w:rsidRPr="0098127B" w:rsidRDefault="006F5BA4" w:rsidP="006F5BA4">
      <w:pPr>
        <w:tabs>
          <w:tab w:val="right" w:pos="6030"/>
        </w:tabs>
        <w:spacing w:after="200" w:line="360" w:lineRule="auto"/>
        <w:jc w:val="both"/>
        <w:rPr>
          <w:rFonts w:ascii="Times New Roman" w:eastAsia="Calibri" w:hAnsi="Times New Roman" w:cs="Times New Roman"/>
          <w:b/>
          <w:bCs/>
          <w:lang w:val="en-US" w:bidi="fa-IR"/>
        </w:rPr>
        <w:sectPr w:rsidR="006F5BA4" w:rsidRPr="0098127B" w:rsidSect="003618BC">
          <w:headerReference w:type="default" r:id="rId10"/>
          <w:pgSz w:w="11906" w:h="16838" w:code="9"/>
          <w:pgMar w:top="1440" w:right="1440" w:bottom="1440" w:left="1440" w:header="720" w:footer="720" w:gutter="0"/>
          <w:pgNumType w:fmt="upperRoman"/>
          <w:cols w:space="720"/>
          <w:titlePg/>
          <w:docGrid w:linePitch="360"/>
        </w:sectPr>
      </w:pPr>
    </w:p>
    <w:p w14:paraId="1E9A2073" w14:textId="77777777" w:rsidR="006F5BA4" w:rsidRPr="0098127B" w:rsidRDefault="006F5BA4" w:rsidP="006F5BA4">
      <w:pPr>
        <w:spacing w:after="200" w:line="360" w:lineRule="auto"/>
        <w:jc w:val="center"/>
        <w:rPr>
          <w:rFonts w:ascii="Times New Roman" w:eastAsia="Calibri" w:hAnsi="Times New Roman" w:cs="Times New Roman"/>
          <w:b/>
          <w:bCs/>
          <w:sz w:val="36"/>
          <w:szCs w:val="36"/>
          <w:lang w:val="en-US" w:bidi="fa-IR"/>
        </w:rPr>
      </w:pPr>
      <w:r w:rsidRPr="0098127B">
        <w:rPr>
          <w:rFonts w:ascii="Times New Roman" w:eastAsia="Calibri" w:hAnsi="Times New Roman" w:cs="Times New Roman"/>
          <w:b/>
          <w:bCs/>
          <w:sz w:val="32"/>
          <w:szCs w:val="32"/>
          <w:lang w:val="en-US" w:bidi="fa-IR"/>
        </w:rPr>
        <w:lastRenderedPageBreak/>
        <w:t>Abstract</w:t>
      </w:r>
    </w:p>
    <w:p w14:paraId="4B98D4C1" w14:textId="1FC773F8" w:rsidR="006F5BA4" w:rsidRPr="0098127B" w:rsidRDefault="00846D7E" w:rsidP="00846D7E">
      <w:pPr>
        <w:spacing w:line="480" w:lineRule="auto"/>
        <w:jc w:val="both"/>
        <w:rPr>
          <w:rFonts w:ascii="Times New Roman" w:eastAsia="Calibri" w:hAnsi="Times New Roman" w:cs="Times New Roman"/>
          <w:color w:val="000000"/>
          <w:sz w:val="24"/>
          <w:szCs w:val="24"/>
        </w:rPr>
      </w:pPr>
      <w:bookmarkStart w:id="1" w:name="_Hlk131239305"/>
      <w:r w:rsidRPr="00846D7E">
        <w:rPr>
          <w:rFonts w:ascii="Times New Roman" w:eastAsia="Calibri" w:hAnsi="Times New Roman" w:cs="Times New Roman"/>
          <w:color w:val="000000"/>
          <w:sz w:val="24"/>
          <w:szCs w:val="24"/>
        </w:rPr>
        <w:t xml:space="preserve">This study presents a comparative content analysis of two secondary-level English language textbook series: </w:t>
      </w:r>
      <w:r w:rsidRPr="00846D7E">
        <w:rPr>
          <w:rFonts w:ascii="Times New Roman" w:eastAsia="Calibri" w:hAnsi="Times New Roman" w:cs="Times New Roman"/>
          <w:i/>
          <w:iCs/>
          <w:color w:val="000000"/>
          <w:sz w:val="24"/>
          <w:szCs w:val="24"/>
        </w:rPr>
        <w:t>English for Iraq</w:t>
      </w:r>
      <w:r w:rsidRPr="00846D7E">
        <w:rPr>
          <w:rFonts w:ascii="Times New Roman" w:eastAsia="Calibri" w:hAnsi="Times New Roman" w:cs="Times New Roman"/>
          <w:color w:val="000000"/>
          <w:sz w:val="24"/>
          <w:szCs w:val="24"/>
        </w:rPr>
        <w:t xml:space="preserve"> and Iran’s </w:t>
      </w:r>
      <w:r w:rsidRPr="00846D7E">
        <w:rPr>
          <w:rFonts w:ascii="Times New Roman" w:eastAsia="Calibri" w:hAnsi="Times New Roman" w:cs="Times New Roman"/>
          <w:i/>
          <w:iCs/>
          <w:color w:val="000000"/>
          <w:sz w:val="24"/>
          <w:szCs w:val="24"/>
        </w:rPr>
        <w:t>Prospect</w:t>
      </w:r>
      <w:r w:rsidRPr="00846D7E">
        <w:rPr>
          <w:rFonts w:ascii="Times New Roman" w:eastAsia="Calibri" w:hAnsi="Times New Roman" w:cs="Times New Roman"/>
          <w:color w:val="000000"/>
          <w:sz w:val="24"/>
          <w:szCs w:val="24"/>
        </w:rPr>
        <w:t xml:space="preserve"> series. Given the central role textbooks play in shaping English Language Teaching (ELT), especially in resource-constrained and exam-driven Middle Eastern contexts, this research aimed to evaluate and compare the two series across multiple dimensions, including physical presentation, language skills and components, syllabus design, and cultural representation. Using AbdelWahab’s (2013) validated checklist as an evaluation framework, the study applied a quantitative descriptive method to examine selected textbooks from both countries</w:t>
      </w:r>
      <w:bookmarkStart w:id="2" w:name="_Hlk218018561"/>
      <w:r w:rsidRPr="00846D7E">
        <w:rPr>
          <w:rFonts w:ascii="Times New Roman" w:eastAsia="Calibri" w:hAnsi="Times New Roman" w:cs="Times New Roman"/>
          <w:color w:val="000000"/>
          <w:sz w:val="24"/>
          <w:szCs w:val="24"/>
        </w:rPr>
        <w:t xml:space="preserve">. Findings revealed that while both series incorporate colorful visuals and structured layouts, </w:t>
      </w:r>
      <w:r w:rsidRPr="00846D7E">
        <w:rPr>
          <w:rFonts w:ascii="Times New Roman" w:eastAsia="Calibri" w:hAnsi="Times New Roman" w:cs="Times New Roman"/>
          <w:i/>
          <w:iCs/>
          <w:color w:val="000000"/>
          <w:sz w:val="24"/>
          <w:szCs w:val="24"/>
        </w:rPr>
        <w:t>Prospect</w:t>
      </w:r>
      <w:r w:rsidRPr="00846D7E">
        <w:rPr>
          <w:rFonts w:ascii="Times New Roman" w:eastAsia="Calibri" w:hAnsi="Times New Roman" w:cs="Times New Roman"/>
          <w:color w:val="000000"/>
          <w:sz w:val="24"/>
          <w:szCs w:val="24"/>
        </w:rPr>
        <w:t xml:space="preserve"> places greater emphasis on oral skills, communicative tasks, and Iranian national identity, whereas </w:t>
      </w:r>
      <w:r w:rsidRPr="00846D7E">
        <w:rPr>
          <w:rFonts w:ascii="Times New Roman" w:eastAsia="Calibri" w:hAnsi="Times New Roman" w:cs="Times New Roman"/>
          <w:i/>
          <w:iCs/>
          <w:color w:val="000000"/>
          <w:sz w:val="24"/>
          <w:szCs w:val="24"/>
        </w:rPr>
        <w:t>English for Iraq</w:t>
      </w:r>
      <w:r w:rsidRPr="00846D7E">
        <w:rPr>
          <w:rFonts w:ascii="Times New Roman" w:eastAsia="Calibri" w:hAnsi="Times New Roman" w:cs="Times New Roman"/>
          <w:color w:val="000000"/>
          <w:sz w:val="24"/>
          <w:szCs w:val="24"/>
        </w:rPr>
        <w:t xml:space="preserve"> adopts a more grammar-focused, linear approach with relatively standardized content. The cultural analysis showed strong ideological underpinnings in both series but with differing levels of integration and depth.</w:t>
      </w:r>
      <w:bookmarkEnd w:id="2"/>
      <w:r w:rsidRPr="00846D7E">
        <w:rPr>
          <w:rFonts w:ascii="Times New Roman" w:eastAsia="Calibri" w:hAnsi="Times New Roman" w:cs="Times New Roman"/>
          <w:color w:val="000000"/>
          <w:sz w:val="24"/>
          <w:szCs w:val="24"/>
        </w:rPr>
        <w:t xml:space="preserve"> These results provide insights into how national ideologies and educational reforms shape English curriculum content and have implications for future textbook design and policy alignment across the region.</w:t>
      </w:r>
    </w:p>
    <w:p w14:paraId="1AFEB527" w14:textId="65A72BB6" w:rsidR="006F5BA4" w:rsidRPr="0098127B" w:rsidRDefault="006F5BA4" w:rsidP="00846D7E">
      <w:pPr>
        <w:spacing w:line="480" w:lineRule="auto"/>
        <w:jc w:val="both"/>
        <w:rPr>
          <w:rFonts w:ascii="Times New Roman" w:eastAsia="Calibri" w:hAnsi="Times New Roman" w:cs="Times New Roman"/>
          <w:color w:val="000000"/>
          <w:sz w:val="24"/>
          <w:szCs w:val="24"/>
        </w:rPr>
      </w:pPr>
      <w:r w:rsidRPr="0098127B">
        <w:rPr>
          <w:rFonts w:ascii="Times New Roman" w:eastAsia="Calibri" w:hAnsi="Times New Roman" w:cs="Times New Roman"/>
          <w:b/>
          <w:bCs/>
          <w:color w:val="000000"/>
          <w:sz w:val="24"/>
          <w:szCs w:val="24"/>
        </w:rPr>
        <w:t>Key Terms:</w:t>
      </w:r>
      <w:r w:rsidRPr="0098127B">
        <w:rPr>
          <w:rFonts w:ascii="Times New Roman" w:eastAsia="Calibri" w:hAnsi="Times New Roman" w:cs="Times New Roman"/>
          <w:color w:val="000000"/>
          <w:sz w:val="24"/>
          <w:szCs w:val="24"/>
        </w:rPr>
        <w:t xml:space="preserve"> </w:t>
      </w:r>
      <w:r w:rsidR="00846D7E" w:rsidRPr="0098127B">
        <w:rPr>
          <w:rFonts w:ascii="Times New Roman" w:eastAsia="Calibri" w:hAnsi="Times New Roman" w:cs="Times New Roman"/>
          <w:i/>
          <w:iCs/>
          <w:color w:val="000000"/>
          <w:sz w:val="24"/>
          <w:szCs w:val="24"/>
        </w:rPr>
        <w:t>comparative analysis, curriculum reform, English for Iraq, ideological representation, language skills, Prospect, textbook evaluation</w:t>
      </w:r>
    </w:p>
    <w:p w14:paraId="38785FC0" w14:textId="77777777" w:rsidR="006F5BA4" w:rsidRPr="0098127B" w:rsidRDefault="006F5BA4" w:rsidP="006F5BA4">
      <w:pPr>
        <w:spacing w:line="480" w:lineRule="auto"/>
        <w:jc w:val="both"/>
        <w:rPr>
          <w:rFonts w:ascii="Times New Roman" w:eastAsia="Calibri" w:hAnsi="Times New Roman" w:cs="Times New Roman"/>
          <w:color w:val="000000"/>
          <w:sz w:val="24"/>
          <w:szCs w:val="24"/>
        </w:rPr>
      </w:pPr>
    </w:p>
    <w:p w14:paraId="7CFE26A2" w14:textId="77777777" w:rsidR="006F5BA4" w:rsidRPr="0098127B" w:rsidRDefault="006F5BA4" w:rsidP="006F5BA4">
      <w:pPr>
        <w:spacing w:after="200" w:line="480" w:lineRule="auto"/>
        <w:jc w:val="both"/>
        <w:rPr>
          <w:rFonts w:ascii="Times New Roman" w:eastAsia="Calibri" w:hAnsi="Times New Roman" w:cs="Times New Roman"/>
          <w:sz w:val="26"/>
          <w:szCs w:val="26"/>
          <w:lang w:val="en-US" w:bidi="fa-IR"/>
        </w:rPr>
      </w:pPr>
    </w:p>
    <w:p w14:paraId="1AB7CB80" w14:textId="77777777" w:rsidR="006F5BA4" w:rsidRPr="0098127B" w:rsidRDefault="006F5BA4" w:rsidP="006F5BA4">
      <w:pPr>
        <w:spacing w:after="200" w:line="480" w:lineRule="auto"/>
        <w:jc w:val="both"/>
        <w:rPr>
          <w:rFonts w:ascii="Times New Roman" w:eastAsia="Calibri" w:hAnsi="Times New Roman" w:cs="Times New Roman"/>
          <w:sz w:val="26"/>
          <w:szCs w:val="26"/>
          <w:lang w:val="en-US" w:bidi="fa-IR"/>
        </w:rPr>
      </w:pPr>
    </w:p>
    <w:p w14:paraId="6FCB2643" w14:textId="77777777" w:rsidR="00D500AD" w:rsidRPr="0098127B" w:rsidRDefault="00D500AD" w:rsidP="006F5BA4">
      <w:pPr>
        <w:spacing w:after="200" w:line="480" w:lineRule="auto"/>
        <w:jc w:val="both"/>
        <w:rPr>
          <w:rFonts w:ascii="Times New Roman" w:eastAsia="Calibri" w:hAnsi="Times New Roman" w:cs="Times New Roman"/>
          <w:sz w:val="26"/>
          <w:szCs w:val="26"/>
          <w:lang w:val="en-US" w:bidi="fa-IR"/>
        </w:rPr>
      </w:pPr>
    </w:p>
    <w:bookmarkEnd w:id="1"/>
    <w:p w14:paraId="543E03A3" w14:textId="77777777" w:rsidR="00854E4E" w:rsidRPr="0098127B" w:rsidRDefault="00854E4E" w:rsidP="00B4266B">
      <w:pPr>
        <w:spacing w:line="480" w:lineRule="auto"/>
        <w:jc w:val="center"/>
        <w:rPr>
          <w:rFonts w:asciiTheme="majorBidi" w:hAnsiTheme="majorBidi" w:cstheme="majorBidi"/>
          <w:sz w:val="28"/>
          <w:szCs w:val="28"/>
        </w:rPr>
      </w:pPr>
    </w:p>
    <w:p w14:paraId="1C3A2710" w14:textId="18E9AEF9" w:rsidR="00854E4E" w:rsidRPr="0098127B" w:rsidRDefault="00854E4E" w:rsidP="00B4266B">
      <w:pPr>
        <w:spacing w:line="480" w:lineRule="auto"/>
        <w:jc w:val="center"/>
        <w:rPr>
          <w:rFonts w:asciiTheme="majorBidi" w:hAnsiTheme="majorBidi" w:cstheme="majorBidi"/>
          <w:b/>
          <w:bCs/>
          <w:sz w:val="28"/>
          <w:szCs w:val="28"/>
        </w:rPr>
      </w:pPr>
      <w:r w:rsidRPr="0098127B">
        <w:rPr>
          <w:rFonts w:asciiTheme="majorBidi" w:hAnsiTheme="majorBidi" w:cstheme="majorBidi"/>
          <w:b/>
          <w:bCs/>
          <w:sz w:val="28"/>
          <w:szCs w:val="28"/>
        </w:rPr>
        <w:lastRenderedPageBreak/>
        <w:t>Table of Contents</w:t>
      </w:r>
    </w:p>
    <w:p w14:paraId="3D3522FF" w14:textId="77777777" w:rsidR="003618BC" w:rsidRPr="00E73956" w:rsidRDefault="003618BC" w:rsidP="00E73956">
      <w:pPr>
        <w:pStyle w:val="TOC2"/>
        <w:rPr>
          <w:b w:val="0"/>
          <w:bCs w:val="0"/>
        </w:rPr>
      </w:pPr>
      <w:bookmarkStart w:id="3" w:name="_Hlk216615408"/>
      <w:r w:rsidRPr="00E73956">
        <w:rPr>
          <w:b w:val="0"/>
          <w:bCs w:val="0"/>
        </w:rPr>
        <w:t>Approval Page</w:t>
      </w:r>
      <w:r w:rsidRPr="00E73956">
        <w:rPr>
          <w:b w:val="0"/>
          <w:bCs w:val="0"/>
        </w:rPr>
        <w:tab/>
      </w:r>
    </w:p>
    <w:p w14:paraId="3A8C611C" w14:textId="77777777" w:rsidR="003618BC" w:rsidRPr="00E73956" w:rsidRDefault="003618BC" w:rsidP="00E73956">
      <w:pPr>
        <w:pStyle w:val="TOC2"/>
        <w:rPr>
          <w:b w:val="0"/>
          <w:bCs w:val="0"/>
        </w:rPr>
      </w:pPr>
      <w:r w:rsidRPr="00E73956">
        <w:rPr>
          <w:b w:val="0"/>
          <w:bCs w:val="0"/>
        </w:rPr>
        <w:t>The Recommendation of the Committee on Final Examination</w:t>
      </w:r>
      <w:r w:rsidRPr="00E73956">
        <w:rPr>
          <w:b w:val="0"/>
          <w:bCs w:val="0"/>
        </w:rPr>
        <w:tab/>
      </w:r>
    </w:p>
    <w:p w14:paraId="36764C29" w14:textId="77777777" w:rsidR="003618BC" w:rsidRPr="00E73956" w:rsidRDefault="003618BC" w:rsidP="00E73956">
      <w:pPr>
        <w:pStyle w:val="TOC2"/>
        <w:rPr>
          <w:b w:val="0"/>
          <w:bCs w:val="0"/>
        </w:rPr>
      </w:pPr>
      <w:r w:rsidRPr="00E73956">
        <w:rPr>
          <w:b w:val="0"/>
          <w:bCs w:val="0"/>
        </w:rPr>
        <w:t>Dedication</w:t>
      </w:r>
      <w:r w:rsidRPr="00E73956">
        <w:rPr>
          <w:b w:val="0"/>
          <w:bCs w:val="0"/>
        </w:rPr>
        <w:tab/>
      </w:r>
    </w:p>
    <w:p w14:paraId="73548454" w14:textId="77777777" w:rsidR="003618BC" w:rsidRPr="00E73956" w:rsidRDefault="003618BC" w:rsidP="00E73956">
      <w:pPr>
        <w:pStyle w:val="TOC2"/>
        <w:rPr>
          <w:b w:val="0"/>
          <w:bCs w:val="0"/>
        </w:rPr>
      </w:pPr>
      <w:r w:rsidRPr="00E73956">
        <w:rPr>
          <w:b w:val="0"/>
          <w:bCs w:val="0"/>
        </w:rPr>
        <w:t>Acknowledgements</w:t>
      </w:r>
      <w:r w:rsidRPr="00E73956">
        <w:rPr>
          <w:b w:val="0"/>
          <w:bCs w:val="0"/>
        </w:rPr>
        <w:tab/>
      </w:r>
    </w:p>
    <w:p w14:paraId="0C6576A4" w14:textId="4F501239" w:rsidR="003618BC" w:rsidRPr="00E73956" w:rsidRDefault="003618BC" w:rsidP="00E73956">
      <w:pPr>
        <w:pStyle w:val="TOC2"/>
        <w:rPr>
          <w:b w:val="0"/>
          <w:bCs w:val="0"/>
        </w:rPr>
      </w:pPr>
      <w:r w:rsidRPr="00E73956">
        <w:rPr>
          <w:b w:val="0"/>
          <w:bCs w:val="0"/>
        </w:rPr>
        <w:t>Thesis Information Page</w:t>
      </w:r>
      <w:r w:rsidRPr="00E73956">
        <w:rPr>
          <w:b w:val="0"/>
          <w:bCs w:val="0"/>
        </w:rPr>
        <w:tab/>
      </w:r>
    </w:p>
    <w:p w14:paraId="23B1FD94" w14:textId="22DF9ABF" w:rsidR="00E73956" w:rsidRPr="00E73956" w:rsidRDefault="00E73956" w:rsidP="00E73956">
      <w:pPr>
        <w:pStyle w:val="TOC2"/>
        <w:rPr>
          <w:b w:val="0"/>
          <w:bCs w:val="0"/>
        </w:rPr>
      </w:pPr>
      <w:r w:rsidRPr="00E73956">
        <w:rPr>
          <w:b w:val="0"/>
          <w:bCs w:val="0"/>
        </w:rPr>
        <w:t>Abstract</w:t>
      </w:r>
      <w:r w:rsidRPr="00E73956">
        <w:rPr>
          <w:b w:val="0"/>
          <w:bCs w:val="0"/>
        </w:rPr>
        <w:tab/>
      </w:r>
    </w:p>
    <w:p w14:paraId="2E8C5484" w14:textId="774044B6" w:rsidR="003618BC" w:rsidRPr="00E73956" w:rsidRDefault="00E73956" w:rsidP="00E73956">
      <w:pPr>
        <w:pStyle w:val="TOC2"/>
        <w:rPr>
          <w:b w:val="0"/>
          <w:bCs w:val="0"/>
        </w:rPr>
      </w:pPr>
      <w:r w:rsidRPr="00E73956">
        <w:rPr>
          <w:b w:val="0"/>
          <w:bCs w:val="0"/>
        </w:rPr>
        <w:tab/>
      </w:r>
      <w:r w:rsidR="003618BC" w:rsidRPr="00E73956">
        <w:rPr>
          <w:b w:val="0"/>
          <w:bCs w:val="0"/>
        </w:rPr>
        <w:t>Table of Contents</w:t>
      </w:r>
      <w:r w:rsidR="003618BC" w:rsidRPr="00E73956">
        <w:rPr>
          <w:b w:val="0"/>
          <w:bCs w:val="0"/>
        </w:rPr>
        <w:tab/>
      </w:r>
    </w:p>
    <w:p w14:paraId="589324BE" w14:textId="77777777" w:rsidR="003618BC" w:rsidRPr="00E73956" w:rsidRDefault="003618BC" w:rsidP="00E73956">
      <w:pPr>
        <w:pStyle w:val="TOC2"/>
        <w:rPr>
          <w:b w:val="0"/>
          <w:bCs w:val="0"/>
        </w:rPr>
      </w:pPr>
      <w:r w:rsidRPr="00E73956">
        <w:rPr>
          <w:b w:val="0"/>
          <w:bCs w:val="0"/>
        </w:rPr>
        <w:t>List of Tables</w:t>
      </w:r>
      <w:r w:rsidRPr="00E73956">
        <w:rPr>
          <w:b w:val="0"/>
          <w:bCs w:val="0"/>
        </w:rPr>
        <w:tab/>
      </w:r>
    </w:p>
    <w:p w14:paraId="1FF5703B" w14:textId="77777777" w:rsidR="003618BC" w:rsidRPr="00E73956" w:rsidRDefault="003618BC" w:rsidP="00E73956">
      <w:pPr>
        <w:pStyle w:val="TOC2"/>
        <w:rPr>
          <w:b w:val="0"/>
          <w:bCs w:val="0"/>
        </w:rPr>
      </w:pPr>
      <w:r w:rsidRPr="00E73956">
        <w:rPr>
          <w:b w:val="0"/>
          <w:bCs w:val="0"/>
        </w:rPr>
        <w:t>List of Abbreviations</w:t>
      </w:r>
      <w:r w:rsidRPr="00E73956">
        <w:rPr>
          <w:b w:val="0"/>
          <w:bCs w:val="0"/>
        </w:rPr>
        <w:tab/>
      </w:r>
    </w:p>
    <w:bookmarkEnd w:id="3"/>
    <w:p w14:paraId="29427E66" w14:textId="1ADC1C83" w:rsidR="0089077A" w:rsidRPr="0098127B" w:rsidRDefault="0089077A" w:rsidP="00E73956">
      <w:pPr>
        <w:pStyle w:val="TOC2"/>
        <w:rPr>
          <w:rStyle w:val="Hyperlink"/>
          <w:b w:val="0"/>
          <w:bCs w:val="0"/>
          <w:color w:val="000000" w:themeColor="text1"/>
          <w:u w:val="none"/>
        </w:rPr>
      </w:pPr>
      <w:r w:rsidRPr="0098127B">
        <w:rPr>
          <w:rStyle w:val="Hyperlink"/>
          <w:color w:val="000000" w:themeColor="text1"/>
          <w:u w:val="none"/>
        </w:rPr>
        <w:t>Chapter One: Introduction</w:t>
      </w:r>
      <w:r w:rsidRPr="0098127B">
        <w:rPr>
          <w:rStyle w:val="Hyperlink"/>
          <w:color w:val="000000" w:themeColor="text1"/>
          <w:u w:val="none"/>
        </w:rPr>
        <w:tab/>
      </w:r>
    </w:p>
    <w:p w14:paraId="76F7C72C" w14:textId="77777777"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1.1 Introduction</w:t>
      </w:r>
      <w:r w:rsidRPr="00E73956">
        <w:rPr>
          <w:rStyle w:val="Hyperlink"/>
          <w:b w:val="0"/>
          <w:bCs w:val="0"/>
          <w:color w:val="000000" w:themeColor="text1"/>
          <w:u w:val="none"/>
        </w:rPr>
        <w:tab/>
      </w:r>
    </w:p>
    <w:p w14:paraId="1AA0E510" w14:textId="77777777"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1.2 Statement of the Problem</w:t>
      </w:r>
      <w:r w:rsidRPr="00E73956">
        <w:rPr>
          <w:rStyle w:val="Hyperlink"/>
          <w:b w:val="0"/>
          <w:bCs w:val="0"/>
          <w:color w:val="000000" w:themeColor="text1"/>
          <w:u w:val="none"/>
        </w:rPr>
        <w:tab/>
      </w:r>
    </w:p>
    <w:p w14:paraId="298056E1" w14:textId="77777777"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1.3 Significance of the Study</w:t>
      </w:r>
      <w:r w:rsidRPr="00E73956">
        <w:rPr>
          <w:rStyle w:val="Hyperlink"/>
          <w:b w:val="0"/>
          <w:bCs w:val="0"/>
          <w:color w:val="000000" w:themeColor="text1"/>
          <w:u w:val="none"/>
        </w:rPr>
        <w:tab/>
        <w:t xml:space="preserve"> </w:t>
      </w:r>
    </w:p>
    <w:p w14:paraId="3B91B4D4" w14:textId="77777777"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1.4 Objectives</w:t>
      </w:r>
      <w:r w:rsidRPr="00E73956">
        <w:rPr>
          <w:rStyle w:val="Hyperlink"/>
          <w:b w:val="0"/>
          <w:bCs w:val="0"/>
          <w:color w:val="000000" w:themeColor="text1"/>
          <w:u w:val="none"/>
        </w:rPr>
        <w:tab/>
      </w:r>
    </w:p>
    <w:p w14:paraId="5FD3009B" w14:textId="77777777" w:rsidR="0089077A"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1.5 Research Questions</w:t>
      </w:r>
      <w:r w:rsidRPr="00E73956">
        <w:rPr>
          <w:rStyle w:val="Hyperlink"/>
          <w:b w:val="0"/>
          <w:bCs w:val="0"/>
          <w:color w:val="000000" w:themeColor="text1"/>
          <w:u w:val="none"/>
        </w:rPr>
        <w:tab/>
      </w:r>
    </w:p>
    <w:p w14:paraId="2A5521A3" w14:textId="1368AE12" w:rsidR="00A51C61" w:rsidRPr="00A51C61" w:rsidRDefault="00A51C61" w:rsidP="00A51C61">
      <w:pPr>
        <w:pStyle w:val="TOC2"/>
        <w:rPr>
          <w:rStyle w:val="Hyperlink"/>
          <w:b w:val="0"/>
          <w:bCs w:val="0"/>
          <w:color w:val="000000" w:themeColor="text1"/>
          <w:u w:val="none"/>
        </w:rPr>
      </w:pPr>
      <w:r w:rsidRPr="00A51C61">
        <w:rPr>
          <w:rStyle w:val="Hyperlink"/>
          <w:b w:val="0"/>
          <w:bCs w:val="0"/>
          <w:color w:val="000000" w:themeColor="text1"/>
          <w:u w:val="none"/>
        </w:rPr>
        <w:t>1.6 Research Hypotheses</w:t>
      </w:r>
      <w:r>
        <w:rPr>
          <w:rStyle w:val="Hyperlink"/>
          <w:b w:val="0"/>
          <w:bCs w:val="0"/>
          <w:color w:val="000000" w:themeColor="text1"/>
          <w:u w:val="none"/>
        </w:rPr>
        <w:tab/>
      </w:r>
    </w:p>
    <w:p w14:paraId="3CCB211C" w14:textId="6878009E"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w:t>
      </w:r>
      <w:r w:rsidR="00A51C61">
        <w:rPr>
          <w:rStyle w:val="Hyperlink"/>
          <w:b w:val="0"/>
          <w:bCs w:val="0"/>
          <w:color w:val="000000" w:themeColor="text1"/>
          <w:u w:val="none"/>
        </w:rPr>
        <w:t xml:space="preserve">7 </w:t>
      </w:r>
      <w:r w:rsidRPr="00E73956">
        <w:rPr>
          <w:rStyle w:val="Hyperlink"/>
          <w:b w:val="0"/>
          <w:bCs w:val="0"/>
          <w:color w:val="000000" w:themeColor="text1"/>
          <w:u w:val="none"/>
        </w:rPr>
        <w:t>Limitations and Delimitations of the Study</w:t>
      </w:r>
      <w:r w:rsidRPr="00E73956">
        <w:rPr>
          <w:rStyle w:val="Hyperlink"/>
          <w:b w:val="0"/>
          <w:bCs w:val="0"/>
          <w:color w:val="000000" w:themeColor="text1"/>
          <w:u w:val="none"/>
        </w:rPr>
        <w:tab/>
      </w:r>
    </w:p>
    <w:p w14:paraId="57C2111A" w14:textId="0B1E0A52"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w:t>
      </w:r>
      <w:r w:rsidR="00A51C61">
        <w:rPr>
          <w:rStyle w:val="Hyperlink"/>
          <w:b w:val="0"/>
          <w:bCs w:val="0"/>
          <w:color w:val="000000" w:themeColor="text1"/>
          <w:u w:val="none"/>
        </w:rPr>
        <w:t>8</w:t>
      </w:r>
      <w:r w:rsidRPr="00E73956">
        <w:rPr>
          <w:rStyle w:val="Hyperlink"/>
          <w:b w:val="0"/>
          <w:bCs w:val="0"/>
          <w:color w:val="000000" w:themeColor="text1"/>
          <w:u w:val="none"/>
        </w:rPr>
        <w:t xml:space="preserve"> Definition of the Key Terms</w:t>
      </w:r>
      <w:r w:rsidRPr="00E73956">
        <w:rPr>
          <w:rStyle w:val="Hyperlink"/>
          <w:b w:val="0"/>
          <w:bCs w:val="0"/>
          <w:color w:val="000000" w:themeColor="text1"/>
          <w:u w:val="none"/>
        </w:rPr>
        <w:tab/>
      </w:r>
    </w:p>
    <w:p w14:paraId="4B16FBCB" w14:textId="068F041E"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w:t>
      </w:r>
      <w:r w:rsidR="00A51C61">
        <w:rPr>
          <w:rStyle w:val="Hyperlink"/>
          <w:b w:val="0"/>
          <w:bCs w:val="0"/>
          <w:color w:val="000000" w:themeColor="text1"/>
          <w:u w:val="none"/>
        </w:rPr>
        <w:t>8</w:t>
      </w:r>
      <w:r w:rsidRPr="00E73956">
        <w:rPr>
          <w:rStyle w:val="Hyperlink"/>
          <w:b w:val="0"/>
          <w:bCs w:val="0"/>
          <w:color w:val="000000" w:themeColor="text1"/>
          <w:u w:val="none"/>
        </w:rPr>
        <w:t>.1 Comparative Study</w:t>
      </w:r>
      <w:r w:rsidRPr="00E73956">
        <w:rPr>
          <w:rStyle w:val="Hyperlink"/>
          <w:b w:val="0"/>
          <w:bCs w:val="0"/>
          <w:color w:val="000000" w:themeColor="text1"/>
          <w:u w:val="none"/>
        </w:rPr>
        <w:tab/>
      </w:r>
    </w:p>
    <w:p w14:paraId="4BC6836C" w14:textId="60FC1E4B"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t>1.</w:t>
      </w:r>
      <w:r w:rsidR="00A51C61">
        <w:rPr>
          <w:rStyle w:val="Hyperlink"/>
          <w:b w:val="0"/>
          <w:bCs w:val="0"/>
          <w:color w:val="000000" w:themeColor="text1"/>
          <w:u w:val="none"/>
        </w:rPr>
        <w:t>8</w:t>
      </w:r>
      <w:r w:rsidRPr="00E73956">
        <w:rPr>
          <w:rStyle w:val="Hyperlink"/>
          <w:b w:val="0"/>
          <w:bCs w:val="0"/>
          <w:color w:val="000000" w:themeColor="text1"/>
          <w:u w:val="none"/>
        </w:rPr>
        <w:t>.2 Curriculum</w:t>
      </w:r>
      <w:r w:rsidRPr="00E73956">
        <w:rPr>
          <w:rStyle w:val="Hyperlink"/>
          <w:b w:val="0"/>
          <w:bCs w:val="0"/>
          <w:color w:val="000000" w:themeColor="text1"/>
          <w:u w:val="none"/>
        </w:rPr>
        <w:tab/>
      </w:r>
    </w:p>
    <w:p w14:paraId="19AC968F" w14:textId="113B8B48" w:rsidR="0089077A" w:rsidRPr="00E73956" w:rsidRDefault="0089077A" w:rsidP="00E73956">
      <w:pPr>
        <w:pStyle w:val="TOC2"/>
        <w:rPr>
          <w:rStyle w:val="Hyperlink"/>
          <w:b w:val="0"/>
          <w:bCs w:val="0"/>
          <w:color w:val="000000" w:themeColor="text1"/>
          <w:u w:val="none"/>
        </w:rPr>
      </w:pPr>
      <w:r w:rsidRPr="00E73956">
        <w:rPr>
          <w:rStyle w:val="Hyperlink"/>
          <w:b w:val="0"/>
          <w:bCs w:val="0"/>
          <w:color w:val="000000" w:themeColor="text1"/>
          <w:u w:val="none"/>
        </w:rPr>
        <w:lastRenderedPageBreak/>
        <w:t>1.</w:t>
      </w:r>
      <w:r w:rsidR="00A51C61">
        <w:rPr>
          <w:rStyle w:val="Hyperlink"/>
          <w:b w:val="0"/>
          <w:bCs w:val="0"/>
          <w:color w:val="000000" w:themeColor="text1"/>
          <w:u w:val="none"/>
        </w:rPr>
        <w:t>8</w:t>
      </w:r>
      <w:r w:rsidRPr="00E73956">
        <w:rPr>
          <w:rStyle w:val="Hyperlink"/>
          <w:b w:val="0"/>
          <w:bCs w:val="0"/>
          <w:color w:val="000000" w:themeColor="text1"/>
          <w:u w:val="none"/>
        </w:rPr>
        <w:t>.3 Textbooks</w:t>
      </w:r>
      <w:r w:rsidRPr="00E73956">
        <w:rPr>
          <w:rStyle w:val="Hyperlink"/>
          <w:b w:val="0"/>
          <w:bCs w:val="0"/>
          <w:color w:val="000000" w:themeColor="text1"/>
          <w:u w:val="none"/>
        </w:rPr>
        <w:tab/>
      </w:r>
    </w:p>
    <w:p w14:paraId="7D3ADCE9" w14:textId="6082AD16" w:rsidR="004B5FFD" w:rsidRPr="0098127B" w:rsidRDefault="004B5FFD" w:rsidP="00E73956">
      <w:pPr>
        <w:pStyle w:val="TOC2"/>
        <w:rPr>
          <w:rStyle w:val="Hyperlink"/>
          <w:b w:val="0"/>
          <w:bCs w:val="0"/>
          <w:color w:val="000000" w:themeColor="text1"/>
          <w:u w:val="none"/>
        </w:rPr>
      </w:pPr>
      <w:r w:rsidRPr="0098127B">
        <w:rPr>
          <w:rStyle w:val="Hyperlink"/>
          <w:color w:val="000000" w:themeColor="text1"/>
          <w:u w:val="none"/>
        </w:rPr>
        <w:t>Chapter Two: Review of the Related Literature</w:t>
      </w:r>
      <w:r w:rsidRPr="0098127B">
        <w:rPr>
          <w:rStyle w:val="Hyperlink"/>
          <w:color w:val="000000" w:themeColor="text1"/>
          <w:u w:val="none"/>
        </w:rPr>
        <w:tab/>
      </w:r>
    </w:p>
    <w:p w14:paraId="19D551F7" w14:textId="338B515E" w:rsidR="004B5FFD" w:rsidRDefault="004B5FFD" w:rsidP="00E73956">
      <w:pPr>
        <w:pStyle w:val="TOC2"/>
        <w:rPr>
          <w:rStyle w:val="Hyperlink"/>
          <w:b w:val="0"/>
          <w:bCs w:val="0"/>
          <w:color w:val="000000" w:themeColor="text1"/>
          <w:u w:val="none"/>
        </w:rPr>
      </w:pPr>
      <w:r w:rsidRPr="00E73956">
        <w:rPr>
          <w:rStyle w:val="Hyperlink"/>
          <w:b w:val="0"/>
          <w:bCs w:val="0"/>
          <w:color w:val="000000" w:themeColor="text1"/>
          <w:u w:val="none"/>
        </w:rPr>
        <w:t>2.1 Introduction</w:t>
      </w:r>
      <w:r w:rsidRPr="00E73956">
        <w:rPr>
          <w:rStyle w:val="Hyperlink"/>
          <w:b w:val="0"/>
          <w:bCs w:val="0"/>
          <w:color w:val="000000" w:themeColor="text1"/>
          <w:u w:val="none"/>
        </w:rPr>
        <w:tab/>
      </w:r>
    </w:p>
    <w:p w14:paraId="364EBFF4" w14:textId="17A34783" w:rsidR="00B44BB7" w:rsidRPr="009E4A66" w:rsidRDefault="00B44BB7" w:rsidP="00B44BB7">
      <w:pPr>
        <w:pStyle w:val="TOC2"/>
        <w:rPr>
          <w:rStyle w:val="Hyperlink"/>
          <w:b w:val="0"/>
          <w:bCs w:val="0"/>
          <w:color w:val="auto"/>
          <w:u w:val="none"/>
        </w:rPr>
      </w:pPr>
      <w:r w:rsidRPr="009E4A66">
        <w:rPr>
          <w:rStyle w:val="Hyperlink"/>
          <w:b w:val="0"/>
          <w:bCs w:val="0"/>
          <w:color w:val="auto"/>
          <w:u w:val="none"/>
        </w:rPr>
        <w:t>2.</w:t>
      </w:r>
      <w:r>
        <w:rPr>
          <w:rStyle w:val="Hyperlink"/>
          <w:b w:val="0"/>
          <w:bCs w:val="0"/>
          <w:color w:val="auto"/>
          <w:u w:val="none"/>
        </w:rPr>
        <w:t>2</w:t>
      </w:r>
      <w:r w:rsidRPr="009E4A66">
        <w:rPr>
          <w:rStyle w:val="Hyperlink"/>
          <w:b w:val="0"/>
          <w:bCs w:val="0"/>
          <w:color w:val="auto"/>
          <w:u w:val="none"/>
        </w:rPr>
        <w:t xml:space="preserve"> Theoretical Background</w:t>
      </w:r>
      <w:r w:rsidRPr="009E4A66">
        <w:rPr>
          <w:rStyle w:val="Hyperlink"/>
          <w:b w:val="0"/>
          <w:bCs w:val="0"/>
          <w:color w:val="auto"/>
          <w:u w:val="none"/>
        </w:rPr>
        <w:tab/>
      </w:r>
    </w:p>
    <w:p w14:paraId="7B537B5A" w14:textId="55ED3F24"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3</w:t>
      </w:r>
      <w:r w:rsidRPr="00E73956">
        <w:rPr>
          <w:rStyle w:val="Hyperlink"/>
          <w:b w:val="0"/>
          <w:bCs w:val="0"/>
          <w:color w:val="000000" w:themeColor="text1"/>
          <w:u w:val="none"/>
        </w:rPr>
        <w:t xml:space="preserve"> ELT Curriculum in the Middle East</w:t>
      </w:r>
      <w:r w:rsidR="004B5FFD" w:rsidRPr="00E73956">
        <w:rPr>
          <w:rStyle w:val="Hyperlink"/>
          <w:b w:val="0"/>
          <w:bCs w:val="0"/>
          <w:color w:val="000000" w:themeColor="text1"/>
          <w:u w:val="none"/>
        </w:rPr>
        <w:tab/>
      </w:r>
    </w:p>
    <w:p w14:paraId="4CB014AB" w14:textId="462A01E8"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3</w:t>
      </w:r>
      <w:r w:rsidRPr="00E73956">
        <w:rPr>
          <w:rStyle w:val="Hyperlink"/>
          <w:b w:val="0"/>
          <w:bCs w:val="0"/>
          <w:color w:val="000000" w:themeColor="text1"/>
          <w:u w:val="none"/>
        </w:rPr>
        <w:t>.1 Historical Context of English in the Middle East</w:t>
      </w:r>
      <w:r w:rsidR="004B5FFD" w:rsidRPr="00E73956">
        <w:rPr>
          <w:rStyle w:val="Hyperlink"/>
          <w:b w:val="0"/>
          <w:bCs w:val="0"/>
          <w:color w:val="000000" w:themeColor="text1"/>
          <w:u w:val="none"/>
        </w:rPr>
        <w:tab/>
      </w:r>
    </w:p>
    <w:p w14:paraId="1A15D065" w14:textId="62F483AD"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3</w:t>
      </w:r>
      <w:r w:rsidRPr="00E73956">
        <w:rPr>
          <w:rStyle w:val="Hyperlink"/>
          <w:b w:val="0"/>
          <w:bCs w:val="0"/>
          <w:color w:val="000000" w:themeColor="text1"/>
          <w:u w:val="none"/>
        </w:rPr>
        <w:t>.2 Role of English in Educational Policy</w:t>
      </w:r>
      <w:r w:rsidR="004B5FFD" w:rsidRPr="00E73956">
        <w:rPr>
          <w:rStyle w:val="Hyperlink"/>
          <w:b w:val="0"/>
          <w:bCs w:val="0"/>
          <w:color w:val="000000" w:themeColor="text1"/>
          <w:u w:val="none"/>
        </w:rPr>
        <w:tab/>
      </w:r>
    </w:p>
    <w:p w14:paraId="51E87839" w14:textId="31524C92"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3</w:t>
      </w:r>
      <w:r w:rsidRPr="00E73956">
        <w:rPr>
          <w:rStyle w:val="Hyperlink"/>
          <w:b w:val="0"/>
          <w:bCs w:val="0"/>
          <w:color w:val="000000" w:themeColor="text1"/>
          <w:u w:val="none"/>
        </w:rPr>
        <w:t>.3 Shared Challenges and Reform Pressures in Middle East</w:t>
      </w:r>
      <w:r w:rsidR="004B5FFD" w:rsidRPr="00E73956">
        <w:rPr>
          <w:rStyle w:val="Hyperlink"/>
          <w:b w:val="0"/>
          <w:bCs w:val="0"/>
          <w:color w:val="000000" w:themeColor="text1"/>
          <w:u w:val="none"/>
        </w:rPr>
        <w:tab/>
      </w:r>
    </w:p>
    <w:p w14:paraId="5E591220" w14:textId="4CAC1839"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4</w:t>
      </w:r>
      <w:r w:rsidRPr="00E73956">
        <w:rPr>
          <w:rStyle w:val="Hyperlink"/>
          <w:b w:val="0"/>
          <w:bCs w:val="0"/>
          <w:color w:val="000000" w:themeColor="text1"/>
          <w:u w:val="none"/>
        </w:rPr>
        <w:t xml:space="preserve"> English Curriculum Reform in Iraq</w:t>
      </w:r>
      <w:r w:rsidR="004B5FFD" w:rsidRPr="00E73956">
        <w:rPr>
          <w:rStyle w:val="Hyperlink"/>
          <w:b w:val="0"/>
          <w:bCs w:val="0"/>
          <w:color w:val="000000" w:themeColor="text1"/>
          <w:u w:val="none"/>
        </w:rPr>
        <w:tab/>
      </w:r>
    </w:p>
    <w:p w14:paraId="1A19334A" w14:textId="4750FBA3"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4</w:t>
      </w:r>
      <w:r w:rsidRPr="00E73956">
        <w:rPr>
          <w:rStyle w:val="Hyperlink"/>
          <w:b w:val="0"/>
          <w:bCs w:val="0"/>
          <w:color w:val="000000" w:themeColor="text1"/>
          <w:u w:val="none"/>
        </w:rPr>
        <w:t>.1 Evolution of ELT Curriculum Post-2003</w:t>
      </w:r>
      <w:r w:rsidR="004B5FFD" w:rsidRPr="00E73956">
        <w:rPr>
          <w:rStyle w:val="Hyperlink"/>
          <w:b w:val="0"/>
          <w:bCs w:val="0"/>
          <w:color w:val="000000" w:themeColor="text1"/>
          <w:u w:val="none"/>
        </w:rPr>
        <w:tab/>
      </w:r>
    </w:p>
    <w:p w14:paraId="53D1534E" w14:textId="0A89B0F0"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4</w:t>
      </w:r>
      <w:r w:rsidRPr="00E73956">
        <w:rPr>
          <w:rStyle w:val="Hyperlink"/>
          <w:b w:val="0"/>
          <w:bCs w:val="0"/>
          <w:color w:val="000000" w:themeColor="text1"/>
          <w:u w:val="none"/>
        </w:rPr>
        <w:t xml:space="preserve">.2 Rationale Behind the </w:t>
      </w:r>
      <w:r w:rsidR="00173BF0" w:rsidRPr="00E73956">
        <w:rPr>
          <w:rStyle w:val="Hyperlink"/>
          <w:b w:val="0"/>
          <w:bCs w:val="0"/>
          <w:i/>
          <w:iCs/>
          <w:color w:val="000000" w:themeColor="text1"/>
          <w:u w:val="none"/>
        </w:rPr>
        <w:t>English for Iraq</w:t>
      </w:r>
      <w:r w:rsidRPr="00E73956">
        <w:rPr>
          <w:rStyle w:val="Hyperlink"/>
          <w:b w:val="0"/>
          <w:bCs w:val="0"/>
          <w:color w:val="000000" w:themeColor="text1"/>
          <w:u w:val="none"/>
        </w:rPr>
        <w:t xml:space="preserve"> Series</w:t>
      </w:r>
      <w:r w:rsidR="004B5FFD" w:rsidRPr="00E73956">
        <w:rPr>
          <w:rStyle w:val="Hyperlink"/>
          <w:b w:val="0"/>
          <w:bCs w:val="0"/>
          <w:color w:val="000000" w:themeColor="text1"/>
          <w:u w:val="none"/>
        </w:rPr>
        <w:tab/>
      </w:r>
    </w:p>
    <w:p w14:paraId="2075C4BC" w14:textId="6FF63621"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4</w:t>
      </w:r>
      <w:r w:rsidRPr="00E73956">
        <w:rPr>
          <w:rStyle w:val="Hyperlink"/>
          <w:b w:val="0"/>
          <w:bCs w:val="0"/>
          <w:color w:val="000000" w:themeColor="text1"/>
          <w:u w:val="none"/>
        </w:rPr>
        <w:t xml:space="preserve">.3 Authorship of </w:t>
      </w:r>
      <w:r w:rsidR="00173BF0" w:rsidRPr="00E73956">
        <w:rPr>
          <w:rStyle w:val="Hyperlink"/>
          <w:b w:val="0"/>
          <w:bCs w:val="0"/>
          <w:i/>
          <w:iCs/>
          <w:color w:val="000000" w:themeColor="text1"/>
          <w:u w:val="none"/>
        </w:rPr>
        <w:t>English for Iraq</w:t>
      </w:r>
      <w:r w:rsidRPr="00E73956">
        <w:rPr>
          <w:rStyle w:val="Hyperlink"/>
          <w:b w:val="0"/>
          <w:bCs w:val="0"/>
          <w:color w:val="000000" w:themeColor="text1"/>
          <w:u w:val="none"/>
        </w:rPr>
        <w:t xml:space="preserve"> </w:t>
      </w:r>
      <w:r w:rsidR="004B5FFD" w:rsidRPr="00E73956">
        <w:rPr>
          <w:rStyle w:val="Hyperlink"/>
          <w:b w:val="0"/>
          <w:bCs w:val="0"/>
          <w:color w:val="000000" w:themeColor="text1"/>
          <w:u w:val="none"/>
        </w:rPr>
        <w:t>S</w:t>
      </w:r>
      <w:r w:rsidRPr="00E73956">
        <w:rPr>
          <w:rStyle w:val="Hyperlink"/>
          <w:b w:val="0"/>
          <w:bCs w:val="0"/>
          <w:color w:val="000000" w:themeColor="text1"/>
          <w:u w:val="none"/>
        </w:rPr>
        <w:t>eries</w:t>
      </w:r>
      <w:r w:rsidR="004B5FFD" w:rsidRPr="00E73956">
        <w:rPr>
          <w:rStyle w:val="Hyperlink"/>
          <w:b w:val="0"/>
          <w:bCs w:val="0"/>
          <w:color w:val="000000" w:themeColor="text1"/>
          <w:u w:val="none"/>
        </w:rPr>
        <w:tab/>
      </w:r>
    </w:p>
    <w:p w14:paraId="61091B44" w14:textId="0FDC3A58"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4</w:t>
      </w:r>
      <w:r w:rsidRPr="00E73956">
        <w:rPr>
          <w:rStyle w:val="Hyperlink"/>
          <w:b w:val="0"/>
          <w:bCs w:val="0"/>
          <w:color w:val="000000" w:themeColor="text1"/>
          <w:u w:val="none"/>
        </w:rPr>
        <w:t xml:space="preserve">.4 Evaluations of </w:t>
      </w:r>
      <w:r w:rsidR="00173BF0" w:rsidRPr="00E73956">
        <w:rPr>
          <w:rStyle w:val="Hyperlink"/>
          <w:b w:val="0"/>
          <w:bCs w:val="0"/>
          <w:i/>
          <w:iCs/>
          <w:color w:val="000000" w:themeColor="text1"/>
          <w:u w:val="none"/>
        </w:rPr>
        <w:t>English for Iraq</w:t>
      </w:r>
      <w:r w:rsidRPr="00E73956">
        <w:rPr>
          <w:rStyle w:val="Hyperlink"/>
          <w:b w:val="0"/>
          <w:bCs w:val="0"/>
          <w:color w:val="000000" w:themeColor="text1"/>
          <w:u w:val="none"/>
        </w:rPr>
        <w:t xml:space="preserve"> Series</w:t>
      </w:r>
      <w:r w:rsidR="004B5FFD" w:rsidRPr="00E73956">
        <w:rPr>
          <w:rStyle w:val="Hyperlink"/>
          <w:b w:val="0"/>
          <w:bCs w:val="0"/>
          <w:color w:val="000000" w:themeColor="text1"/>
          <w:u w:val="none"/>
        </w:rPr>
        <w:tab/>
      </w:r>
    </w:p>
    <w:p w14:paraId="3567D7AB" w14:textId="1EFDE50A"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5</w:t>
      </w:r>
      <w:r w:rsidRPr="00E73956">
        <w:rPr>
          <w:rStyle w:val="Hyperlink"/>
          <w:b w:val="0"/>
          <w:bCs w:val="0"/>
          <w:color w:val="000000" w:themeColor="text1"/>
          <w:u w:val="none"/>
        </w:rPr>
        <w:t xml:space="preserve"> English Curriculum Reform in Iran</w:t>
      </w:r>
      <w:r w:rsidR="004B5FFD" w:rsidRPr="00E73956">
        <w:rPr>
          <w:rStyle w:val="Hyperlink"/>
          <w:b w:val="0"/>
          <w:bCs w:val="0"/>
          <w:color w:val="000000" w:themeColor="text1"/>
          <w:u w:val="none"/>
        </w:rPr>
        <w:tab/>
      </w:r>
    </w:p>
    <w:p w14:paraId="6BC99E66" w14:textId="323FFDC7"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5</w:t>
      </w:r>
      <w:r w:rsidRPr="00E73956">
        <w:rPr>
          <w:rStyle w:val="Hyperlink"/>
          <w:b w:val="0"/>
          <w:bCs w:val="0"/>
          <w:color w:val="000000" w:themeColor="text1"/>
          <w:u w:val="none"/>
        </w:rPr>
        <w:t>.1 Shift from Grammar Translation to Communicative Approaches</w:t>
      </w:r>
      <w:r w:rsidR="004B5FFD" w:rsidRPr="00E73956">
        <w:rPr>
          <w:rStyle w:val="Hyperlink"/>
          <w:b w:val="0"/>
          <w:bCs w:val="0"/>
          <w:color w:val="000000" w:themeColor="text1"/>
          <w:u w:val="none"/>
        </w:rPr>
        <w:tab/>
      </w:r>
    </w:p>
    <w:p w14:paraId="30CEA2BF" w14:textId="42B9BB30"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5</w:t>
      </w:r>
      <w:r w:rsidRPr="00E73956">
        <w:rPr>
          <w:rStyle w:val="Hyperlink"/>
          <w:b w:val="0"/>
          <w:bCs w:val="0"/>
          <w:color w:val="000000" w:themeColor="text1"/>
          <w:u w:val="none"/>
        </w:rPr>
        <w:t xml:space="preserve">.2 Emergence of </w:t>
      </w:r>
      <w:r w:rsidR="00173BF0" w:rsidRPr="00E73956">
        <w:rPr>
          <w:rStyle w:val="Hyperlink"/>
          <w:b w:val="0"/>
          <w:bCs w:val="0"/>
          <w:i/>
          <w:iCs/>
          <w:color w:val="000000" w:themeColor="text1"/>
          <w:u w:val="none"/>
        </w:rPr>
        <w:t>Prospect</w:t>
      </w:r>
      <w:r w:rsidRPr="00E73956">
        <w:rPr>
          <w:rStyle w:val="Hyperlink"/>
          <w:b w:val="0"/>
          <w:bCs w:val="0"/>
          <w:color w:val="000000" w:themeColor="text1"/>
          <w:u w:val="none"/>
        </w:rPr>
        <w:t xml:space="preserve"> and </w:t>
      </w:r>
      <w:r w:rsidR="00FB3B77" w:rsidRPr="00E73956">
        <w:rPr>
          <w:rStyle w:val="Hyperlink"/>
          <w:b w:val="0"/>
          <w:bCs w:val="0"/>
          <w:i/>
          <w:iCs/>
          <w:color w:val="000000" w:themeColor="text1"/>
          <w:u w:val="none"/>
        </w:rPr>
        <w:t>Vision</w:t>
      </w:r>
      <w:r w:rsidRPr="00E73956">
        <w:rPr>
          <w:rStyle w:val="Hyperlink"/>
          <w:b w:val="0"/>
          <w:bCs w:val="0"/>
          <w:color w:val="000000" w:themeColor="text1"/>
          <w:u w:val="none"/>
        </w:rPr>
        <w:t xml:space="preserve"> Series</w:t>
      </w:r>
      <w:r w:rsidR="004B5FFD" w:rsidRPr="00E73956">
        <w:rPr>
          <w:rStyle w:val="Hyperlink"/>
          <w:b w:val="0"/>
          <w:bCs w:val="0"/>
          <w:color w:val="000000" w:themeColor="text1"/>
          <w:u w:val="none"/>
        </w:rPr>
        <w:tab/>
      </w:r>
    </w:p>
    <w:p w14:paraId="02463E40" w14:textId="75488BEA"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5</w:t>
      </w:r>
      <w:r w:rsidRPr="00E73956">
        <w:rPr>
          <w:rStyle w:val="Hyperlink"/>
          <w:b w:val="0"/>
          <w:bCs w:val="0"/>
          <w:color w:val="000000" w:themeColor="text1"/>
          <w:u w:val="none"/>
        </w:rPr>
        <w:t>.3 Cultural and Religious Considerations in Textbook</w:t>
      </w:r>
      <w:r w:rsidR="004B5FFD" w:rsidRPr="00E73956">
        <w:rPr>
          <w:rStyle w:val="Hyperlink"/>
          <w:b w:val="0"/>
          <w:bCs w:val="0"/>
          <w:color w:val="000000" w:themeColor="text1"/>
          <w:u w:val="none"/>
        </w:rPr>
        <w:tab/>
      </w:r>
    </w:p>
    <w:p w14:paraId="5BCECDF4" w14:textId="78435253"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5</w:t>
      </w:r>
      <w:r w:rsidRPr="00E73956">
        <w:rPr>
          <w:rStyle w:val="Hyperlink"/>
          <w:b w:val="0"/>
          <w:bCs w:val="0"/>
          <w:color w:val="000000" w:themeColor="text1"/>
          <w:u w:val="none"/>
        </w:rPr>
        <w:t>.4 Role of Local Authorship in Textbooks</w:t>
      </w:r>
      <w:r w:rsidR="004B5FFD" w:rsidRPr="00E73956">
        <w:rPr>
          <w:rStyle w:val="Hyperlink"/>
          <w:b w:val="0"/>
          <w:bCs w:val="0"/>
          <w:color w:val="000000" w:themeColor="text1"/>
          <w:u w:val="none"/>
        </w:rPr>
        <w:tab/>
      </w:r>
    </w:p>
    <w:p w14:paraId="27BFE608" w14:textId="052D2B8A"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5</w:t>
      </w:r>
      <w:r w:rsidRPr="00E73956">
        <w:rPr>
          <w:rStyle w:val="Hyperlink"/>
          <w:b w:val="0"/>
          <w:bCs w:val="0"/>
          <w:color w:val="000000" w:themeColor="text1"/>
          <w:u w:val="none"/>
        </w:rPr>
        <w:t xml:space="preserve">.5 Evaluations of the </w:t>
      </w:r>
      <w:r w:rsidR="00FB3B77" w:rsidRPr="00E73956">
        <w:rPr>
          <w:rStyle w:val="Hyperlink"/>
          <w:b w:val="0"/>
          <w:bCs w:val="0"/>
          <w:i/>
          <w:iCs/>
          <w:color w:val="000000" w:themeColor="text1"/>
          <w:u w:val="none"/>
        </w:rPr>
        <w:t>Vision</w:t>
      </w:r>
      <w:r w:rsidRPr="00E73956">
        <w:rPr>
          <w:rStyle w:val="Hyperlink"/>
          <w:b w:val="0"/>
          <w:bCs w:val="0"/>
          <w:color w:val="000000" w:themeColor="text1"/>
          <w:u w:val="none"/>
        </w:rPr>
        <w:t xml:space="preserve"> Series</w:t>
      </w:r>
      <w:r w:rsidR="004B5FFD" w:rsidRPr="00E73956">
        <w:rPr>
          <w:rStyle w:val="Hyperlink"/>
          <w:b w:val="0"/>
          <w:bCs w:val="0"/>
          <w:color w:val="000000" w:themeColor="text1"/>
          <w:u w:val="none"/>
        </w:rPr>
        <w:tab/>
      </w:r>
    </w:p>
    <w:p w14:paraId="07E889F7" w14:textId="6705E7AE"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6</w:t>
      </w:r>
      <w:r w:rsidRPr="00E73956">
        <w:rPr>
          <w:rStyle w:val="Hyperlink"/>
          <w:b w:val="0"/>
          <w:bCs w:val="0"/>
          <w:color w:val="000000" w:themeColor="text1"/>
          <w:u w:val="none"/>
        </w:rPr>
        <w:t xml:space="preserve"> Role of Textbooks in English Language Teaching</w:t>
      </w:r>
      <w:r w:rsidR="004B5FFD" w:rsidRPr="00E73956">
        <w:rPr>
          <w:rStyle w:val="Hyperlink"/>
          <w:b w:val="0"/>
          <w:bCs w:val="0"/>
          <w:color w:val="000000" w:themeColor="text1"/>
          <w:u w:val="none"/>
        </w:rPr>
        <w:tab/>
      </w:r>
    </w:p>
    <w:p w14:paraId="7F018006" w14:textId="5BA76D30"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6</w:t>
      </w:r>
      <w:r w:rsidRPr="00E73956">
        <w:rPr>
          <w:rStyle w:val="Hyperlink"/>
          <w:b w:val="0"/>
          <w:bCs w:val="0"/>
          <w:color w:val="000000" w:themeColor="text1"/>
          <w:u w:val="none"/>
        </w:rPr>
        <w:t>.1 Textbooks as Curriculum Artifacts</w:t>
      </w:r>
      <w:r w:rsidR="004B5FFD" w:rsidRPr="00E73956">
        <w:rPr>
          <w:rStyle w:val="Hyperlink"/>
          <w:b w:val="0"/>
          <w:bCs w:val="0"/>
          <w:color w:val="000000" w:themeColor="text1"/>
          <w:u w:val="none"/>
        </w:rPr>
        <w:tab/>
      </w:r>
    </w:p>
    <w:p w14:paraId="77996854" w14:textId="5469F5DD"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lastRenderedPageBreak/>
        <w:t>2.</w:t>
      </w:r>
      <w:r w:rsidR="00B44BB7">
        <w:rPr>
          <w:rStyle w:val="Hyperlink"/>
          <w:b w:val="0"/>
          <w:bCs w:val="0"/>
          <w:color w:val="000000" w:themeColor="text1"/>
          <w:u w:val="none"/>
        </w:rPr>
        <w:t>6</w:t>
      </w:r>
      <w:r w:rsidRPr="00E73956">
        <w:rPr>
          <w:rStyle w:val="Hyperlink"/>
          <w:b w:val="0"/>
          <w:bCs w:val="0"/>
          <w:color w:val="000000" w:themeColor="text1"/>
          <w:u w:val="none"/>
        </w:rPr>
        <w:t>.2 Textbooks Influence on Teaching Practices</w:t>
      </w:r>
      <w:r w:rsidR="004B5FFD" w:rsidRPr="00E73956">
        <w:rPr>
          <w:rStyle w:val="Hyperlink"/>
          <w:b w:val="0"/>
          <w:bCs w:val="0"/>
          <w:color w:val="000000" w:themeColor="text1"/>
          <w:u w:val="none"/>
        </w:rPr>
        <w:tab/>
      </w:r>
    </w:p>
    <w:p w14:paraId="53444BFC" w14:textId="1A61E9E5"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6</w:t>
      </w:r>
      <w:r w:rsidRPr="00E73956">
        <w:rPr>
          <w:rStyle w:val="Hyperlink"/>
          <w:b w:val="0"/>
          <w:bCs w:val="0"/>
          <w:color w:val="000000" w:themeColor="text1"/>
          <w:u w:val="none"/>
        </w:rPr>
        <w:t>.3 Textbooks as Ideological Tools</w:t>
      </w:r>
      <w:r w:rsidR="004B5FFD" w:rsidRPr="00E73956">
        <w:rPr>
          <w:rStyle w:val="Hyperlink"/>
          <w:b w:val="0"/>
          <w:bCs w:val="0"/>
          <w:color w:val="000000" w:themeColor="text1"/>
          <w:u w:val="none"/>
        </w:rPr>
        <w:tab/>
      </w:r>
    </w:p>
    <w:p w14:paraId="7E23EAEB" w14:textId="4CC0840F"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6</w:t>
      </w:r>
      <w:r w:rsidRPr="00E73956">
        <w:rPr>
          <w:rStyle w:val="Hyperlink"/>
          <w:b w:val="0"/>
          <w:bCs w:val="0"/>
          <w:color w:val="000000" w:themeColor="text1"/>
          <w:u w:val="none"/>
        </w:rPr>
        <w:t>.4 Textbooks Influence on Exam-Driven Contexts</w:t>
      </w:r>
      <w:r w:rsidR="004B5FFD" w:rsidRPr="00E73956">
        <w:rPr>
          <w:rStyle w:val="Hyperlink"/>
          <w:b w:val="0"/>
          <w:bCs w:val="0"/>
          <w:color w:val="000000" w:themeColor="text1"/>
          <w:u w:val="none"/>
        </w:rPr>
        <w:tab/>
      </w:r>
    </w:p>
    <w:p w14:paraId="42F83A8C" w14:textId="10E23F28"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7</w:t>
      </w:r>
      <w:r w:rsidRPr="00E73956">
        <w:rPr>
          <w:rStyle w:val="Hyperlink"/>
          <w:b w:val="0"/>
          <w:bCs w:val="0"/>
          <w:color w:val="000000" w:themeColor="text1"/>
          <w:u w:val="none"/>
        </w:rPr>
        <w:t xml:space="preserve"> Textbook Evaluation Frameworks</w:t>
      </w:r>
      <w:r w:rsidR="004B5FFD" w:rsidRPr="00E73956">
        <w:rPr>
          <w:rStyle w:val="Hyperlink"/>
          <w:b w:val="0"/>
          <w:bCs w:val="0"/>
          <w:color w:val="000000" w:themeColor="text1"/>
          <w:u w:val="none"/>
        </w:rPr>
        <w:tab/>
      </w:r>
    </w:p>
    <w:p w14:paraId="47EAEC65" w14:textId="04CBA3FC"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7</w:t>
      </w:r>
      <w:r w:rsidRPr="00E73956">
        <w:rPr>
          <w:rStyle w:val="Hyperlink"/>
          <w:b w:val="0"/>
          <w:bCs w:val="0"/>
          <w:color w:val="000000" w:themeColor="text1"/>
          <w:u w:val="none"/>
        </w:rPr>
        <w:t>.1 Common Textbook Evaluation Models</w:t>
      </w:r>
      <w:r w:rsidR="004B5FFD" w:rsidRPr="00E73956">
        <w:rPr>
          <w:rStyle w:val="Hyperlink"/>
          <w:b w:val="0"/>
          <w:bCs w:val="0"/>
          <w:color w:val="000000" w:themeColor="text1"/>
          <w:u w:val="none"/>
        </w:rPr>
        <w:tab/>
      </w:r>
    </w:p>
    <w:p w14:paraId="1A7BA8DF" w14:textId="33831FA0"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w:t>
      </w:r>
      <w:r w:rsidR="00B44BB7">
        <w:rPr>
          <w:rStyle w:val="Hyperlink"/>
          <w:b w:val="0"/>
          <w:bCs w:val="0"/>
          <w:color w:val="000000" w:themeColor="text1"/>
          <w:u w:val="none"/>
        </w:rPr>
        <w:t>7</w:t>
      </w:r>
      <w:r w:rsidRPr="00E73956">
        <w:rPr>
          <w:rStyle w:val="Hyperlink"/>
          <w:b w:val="0"/>
          <w:bCs w:val="0"/>
          <w:color w:val="000000" w:themeColor="text1"/>
          <w:u w:val="none"/>
        </w:rPr>
        <w:t>.2 Justification for Selecting AbdelWahab’s Checklist</w:t>
      </w:r>
      <w:r w:rsidR="004B5FFD" w:rsidRPr="00E73956">
        <w:rPr>
          <w:rStyle w:val="Hyperlink"/>
          <w:b w:val="0"/>
          <w:bCs w:val="0"/>
          <w:color w:val="000000" w:themeColor="text1"/>
          <w:u w:val="none"/>
        </w:rPr>
        <w:tab/>
      </w:r>
    </w:p>
    <w:p w14:paraId="46306482" w14:textId="510069E7" w:rsidR="00441F91" w:rsidRPr="009E4A66" w:rsidRDefault="00441F91" w:rsidP="00E73956">
      <w:pPr>
        <w:pStyle w:val="TOC2"/>
        <w:rPr>
          <w:rStyle w:val="Hyperlink"/>
          <w:b w:val="0"/>
          <w:bCs w:val="0"/>
          <w:color w:val="auto"/>
          <w:u w:val="none"/>
        </w:rPr>
      </w:pPr>
      <w:r w:rsidRPr="009E4A66">
        <w:rPr>
          <w:rStyle w:val="Hyperlink"/>
          <w:b w:val="0"/>
          <w:bCs w:val="0"/>
          <w:color w:val="auto"/>
          <w:u w:val="none"/>
        </w:rPr>
        <w:t>2.8 Empirical Studies</w:t>
      </w:r>
      <w:r w:rsidR="004B5FFD" w:rsidRPr="009E4A66">
        <w:rPr>
          <w:rStyle w:val="Hyperlink"/>
          <w:b w:val="0"/>
          <w:bCs w:val="0"/>
          <w:color w:val="auto"/>
          <w:u w:val="none"/>
        </w:rPr>
        <w:tab/>
      </w:r>
    </w:p>
    <w:p w14:paraId="498C9BE1" w14:textId="17EB9C9C" w:rsidR="00441F91" w:rsidRPr="00E73956" w:rsidRDefault="00441F91" w:rsidP="00E73956">
      <w:pPr>
        <w:pStyle w:val="TOC2"/>
        <w:rPr>
          <w:rStyle w:val="Hyperlink"/>
          <w:b w:val="0"/>
          <w:bCs w:val="0"/>
          <w:color w:val="000000" w:themeColor="text1"/>
          <w:u w:val="none"/>
        </w:rPr>
      </w:pPr>
      <w:r w:rsidRPr="00E73956">
        <w:rPr>
          <w:rStyle w:val="Hyperlink"/>
          <w:b w:val="0"/>
          <w:bCs w:val="0"/>
          <w:color w:val="000000" w:themeColor="text1"/>
          <w:u w:val="none"/>
        </w:rPr>
        <w:t>2.9 Research Gap</w:t>
      </w:r>
      <w:r w:rsidR="004B5FFD" w:rsidRPr="00E73956">
        <w:rPr>
          <w:rStyle w:val="Hyperlink"/>
          <w:b w:val="0"/>
          <w:bCs w:val="0"/>
          <w:color w:val="000000" w:themeColor="text1"/>
          <w:u w:val="none"/>
        </w:rPr>
        <w:tab/>
      </w:r>
    </w:p>
    <w:p w14:paraId="05485E4D" w14:textId="77777777" w:rsidR="008379AE" w:rsidRPr="0098127B" w:rsidRDefault="008379AE" w:rsidP="00E73956">
      <w:pPr>
        <w:pStyle w:val="TOC2"/>
        <w:rPr>
          <w:rStyle w:val="Hyperlink"/>
          <w:b w:val="0"/>
          <w:bCs w:val="0"/>
          <w:color w:val="000000" w:themeColor="text1"/>
          <w:u w:val="none"/>
        </w:rPr>
      </w:pPr>
      <w:r w:rsidRPr="0098127B">
        <w:rPr>
          <w:rStyle w:val="Hyperlink"/>
          <w:color w:val="000000" w:themeColor="text1"/>
          <w:u w:val="none"/>
        </w:rPr>
        <w:t>Chapter Three: Methodology</w:t>
      </w:r>
      <w:r w:rsidRPr="0098127B">
        <w:rPr>
          <w:rStyle w:val="Hyperlink"/>
          <w:color w:val="000000" w:themeColor="text1"/>
          <w:u w:val="none"/>
        </w:rPr>
        <w:tab/>
      </w:r>
    </w:p>
    <w:p w14:paraId="44565F8D" w14:textId="77777777"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3.1 Introduction</w:t>
      </w:r>
      <w:r w:rsidRPr="00E73956">
        <w:rPr>
          <w:rStyle w:val="Hyperlink"/>
          <w:b w:val="0"/>
          <w:bCs w:val="0"/>
          <w:color w:val="000000" w:themeColor="text1"/>
          <w:u w:val="none"/>
        </w:rPr>
        <w:tab/>
      </w:r>
    </w:p>
    <w:p w14:paraId="409C8B2D" w14:textId="66BEAB94"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3.2 Design</w:t>
      </w:r>
      <w:r w:rsidR="00860506">
        <w:rPr>
          <w:rStyle w:val="Hyperlink"/>
          <w:b w:val="0"/>
          <w:bCs w:val="0"/>
          <w:color w:val="000000" w:themeColor="text1"/>
          <w:u w:val="none"/>
        </w:rPr>
        <w:t xml:space="preserve"> </w:t>
      </w:r>
      <w:r w:rsidR="00860506" w:rsidRPr="00860506">
        <w:rPr>
          <w:rStyle w:val="Hyperlink"/>
          <w:b w:val="0"/>
          <w:bCs w:val="0"/>
          <w:color w:val="000000" w:themeColor="text1"/>
          <w:u w:val="none"/>
        </w:rPr>
        <w:t>of the Study</w:t>
      </w:r>
      <w:r w:rsidRPr="00E73956">
        <w:rPr>
          <w:rStyle w:val="Hyperlink"/>
          <w:b w:val="0"/>
          <w:bCs w:val="0"/>
          <w:color w:val="000000" w:themeColor="text1"/>
          <w:u w:val="none"/>
        </w:rPr>
        <w:tab/>
      </w:r>
    </w:p>
    <w:p w14:paraId="509406DA" w14:textId="77777777"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3.3 Instruments and Materials</w:t>
      </w:r>
      <w:r w:rsidRPr="00E73956">
        <w:rPr>
          <w:rStyle w:val="Hyperlink"/>
          <w:b w:val="0"/>
          <w:bCs w:val="0"/>
          <w:color w:val="000000" w:themeColor="text1"/>
          <w:u w:val="none"/>
        </w:rPr>
        <w:tab/>
      </w:r>
    </w:p>
    <w:p w14:paraId="59D7BA4D" w14:textId="77777777"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 xml:space="preserve">3.3.1 </w:t>
      </w:r>
      <w:r w:rsidRPr="00E73956">
        <w:rPr>
          <w:rStyle w:val="Hyperlink"/>
          <w:b w:val="0"/>
          <w:bCs w:val="0"/>
          <w:i/>
          <w:iCs/>
          <w:color w:val="000000" w:themeColor="text1"/>
          <w:u w:val="none"/>
        </w:rPr>
        <w:t>English for Iraq</w:t>
      </w:r>
      <w:r w:rsidRPr="00E73956">
        <w:rPr>
          <w:rStyle w:val="Hyperlink"/>
          <w:b w:val="0"/>
          <w:bCs w:val="0"/>
          <w:color w:val="000000" w:themeColor="text1"/>
          <w:u w:val="none"/>
        </w:rPr>
        <w:tab/>
      </w:r>
    </w:p>
    <w:p w14:paraId="44130566" w14:textId="77777777"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 xml:space="preserve">3.3.2 </w:t>
      </w:r>
      <w:r w:rsidRPr="00E73956">
        <w:rPr>
          <w:rStyle w:val="Hyperlink"/>
          <w:b w:val="0"/>
          <w:bCs w:val="0"/>
          <w:i/>
          <w:iCs/>
          <w:color w:val="000000" w:themeColor="text1"/>
          <w:u w:val="none"/>
        </w:rPr>
        <w:t>Prospect</w:t>
      </w:r>
      <w:r w:rsidRPr="00E73956">
        <w:rPr>
          <w:rStyle w:val="Hyperlink"/>
          <w:b w:val="0"/>
          <w:bCs w:val="0"/>
          <w:color w:val="000000" w:themeColor="text1"/>
          <w:u w:val="none"/>
        </w:rPr>
        <w:tab/>
      </w:r>
    </w:p>
    <w:p w14:paraId="28C2E356" w14:textId="77777777"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 xml:space="preserve">3.3.3 Checklist </w:t>
      </w:r>
      <w:r w:rsidRPr="00E73956">
        <w:rPr>
          <w:rStyle w:val="Hyperlink"/>
          <w:b w:val="0"/>
          <w:bCs w:val="0"/>
          <w:color w:val="000000" w:themeColor="text1"/>
          <w:u w:val="none"/>
        </w:rPr>
        <w:tab/>
      </w:r>
    </w:p>
    <w:p w14:paraId="57982671" w14:textId="77777777"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3.4 Data Collection Procedure</w:t>
      </w:r>
      <w:r w:rsidRPr="00E73956">
        <w:rPr>
          <w:rStyle w:val="Hyperlink"/>
          <w:b w:val="0"/>
          <w:bCs w:val="0"/>
          <w:color w:val="000000" w:themeColor="text1"/>
          <w:u w:val="none"/>
        </w:rPr>
        <w:tab/>
      </w:r>
    </w:p>
    <w:p w14:paraId="0307B2D8" w14:textId="3419FD06" w:rsidR="008379AE" w:rsidRPr="00E73956" w:rsidRDefault="008379AE" w:rsidP="00E73956">
      <w:pPr>
        <w:pStyle w:val="TOC2"/>
        <w:rPr>
          <w:rStyle w:val="Hyperlink"/>
          <w:b w:val="0"/>
          <w:bCs w:val="0"/>
          <w:color w:val="000000" w:themeColor="text1"/>
          <w:u w:val="none"/>
        </w:rPr>
      </w:pPr>
      <w:r w:rsidRPr="00E73956">
        <w:rPr>
          <w:rStyle w:val="Hyperlink"/>
          <w:b w:val="0"/>
          <w:bCs w:val="0"/>
          <w:color w:val="000000" w:themeColor="text1"/>
          <w:u w:val="none"/>
        </w:rPr>
        <w:t>3.5 Data Analysis</w:t>
      </w:r>
      <w:r w:rsidRPr="00E73956">
        <w:rPr>
          <w:rStyle w:val="Hyperlink"/>
          <w:b w:val="0"/>
          <w:bCs w:val="0"/>
          <w:color w:val="000000" w:themeColor="text1"/>
          <w:u w:val="none"/>
        </w:rPr>
        <w:tab/>
      </w:r>
    </w:p>
    <w:p w14:paraId="7C6277A3" w14:textId="77777777" w:rsidR="00D433F0" w:rsidRPr="00594A76" w:rsidRDefault="00D433F0" w:rsidP="00D433F0">
      <w:pPr>
        <w:tabs>
          <w:tab w:val="left" w:pos="720"/>
          <w:tab w:val="right" w:leader="dot" w:pos="9015"/>
        </w:tabs>
        <w:spacing w:after="100" w:line="480" w:lineRule="auto"/>
        <w:jc w:val="both"/>
        <w:rPr>
          <w:rFonts w:ascii="Times New Roman" w:eastAsiaTheme="majorEastAsia" w:hAnsi="Times New Roman" w:cs="Times New Roman"/>
          <w:b/>
          <w:bCs/>
          <w:noProof/>
          <w:kern w:val="0"/>
          <w:sz w:val="24"/>
          <w:szCs w:val="24"/>
          <w:lang w:val="en-US"/>
          <w14:ligatures w14:val="none"/>
        </w:rPr>
      </w:pPr>
      <w:r w:rsidRPr="00594A76">
        <w:rPr>
          <w:rFonts w:ascii="Times New Roman" w:eastAsiaTheme="majorEastAsia" w:hAnsi="Times New Roman" w:cs="Times New Roman"/>
          <w:b/>
          <w:bCs/>
          <w:noProof/>
          <w:kern w:val="0"/>
          <w:sz w:val="24"/>
          <w:szCs w:val="24"/>
          <w:lang w:val="en-US"/>
          <w14:ligatures w14:val="none"/>
        </w:rPr>
        <w:t>Chapter Four: Results</w:t>
      </w:r>
      <w:r w:rsidRPr="00594A76">
        <w:rPr>
          <w:rFonts w:ascii="Times New Roman" w:eastAsiaTheme="majorEastAsia" w:hAnsi="Times New Roman" w:cs="Times New Roman"/>
          <w:b/>
          <w:bCs/>
          <w:noProof/>
          <w:kern w:val="0"/>
          <w:sz w:val="24"/>
          <w:szCs w:val="24"/>
          <w:lang w:val="en-US"/>
          <w14:ligatures w14:val="none"/>
        </w:rPr>
        <w:tab/>
      </w:r>
    </w:p>
    <w:p w14:paraId="68949EAD" w14:textId="77777777" w:rsidR="00D433F0" w:rsidRPr="00594A76" w:rsidRDefault="00D433F0" w:rsidP="00D433F0">
      <w:pPr>
        <w:tabs>
          <w:tab w:val="left" w:pos="720"/>
          <w:tab w:val="right" w:leader="dot" w:pos="9015"/>
        </w:tabs>
        <w:spacing w:after="100" w:line="480" w:lineRule="auto"/>
        <w:jc w:val="both"/>
        <w:rPr>
          <w:rFonts w:ascii="Times New Roman" w:eastAsiaTheme="majorEastAsia" w:hAnsi="Times New Roman" w:cs="Times New Roman"/>
          <w:noProof/>
          <w:kern w:val="0"/>
          <w:sz w:val="24"/>
          <w:szCs w:val="24"/>
          <w:lang w:val="en-US"/>
          <w14:ligatures w14:val="none"/>
        </w:rPr>
      </w:pPr>
      <w:r w:rsidRPr="00594A76">
        <w:rPr>
          <w:rFonts w:ascii="Times New Roman" w:eastAsiaTheme="majorEastAsia" w:hAnsi="Times New Roman" w:cs="Times New Roman"/>
          <w:noProof/>
          <w:kern w:val="0"/>
          <w:sz w:val="24"/>
          <w:szCs w:val="24"/>
          <w:lang w:val="en-US"/>
          <w14:ligatures w14:val="none"/>
        </w:rPr>
        <w:t>4.1 Introduction</w:t>
      </w:r>
      <w:r w:rsidRPr="00594A76">
        <w:rPr>
          <w:rFonts w:ascii="Times New Roman" w:eastAsiaTheme="majorEastAsia" w:hAnsi="Times New Roman" w:cs="Times New Roman"/>
          <w:noProof/>
          <w:kern w:val="0"/>
          <w:sz w:val="24"/>
          <w:szCs w:val="24"/>
          <w:lang w:val="en-US"/>
          <w14:ligatures w14:val="none"/>
        </w:rPr>
        <w:tab/>
      </w:r>
    </w:p>
    <w:p w14:paraId="640CAB6A" w14:textId="2898336F" w:rsidR="00D433F0" w:rsidRPr="00D433F0" w:rsidRDefault="00D433F0" w:rsidP="00D433F0">
      <w:pPr>
        <w:rPr>
          <w:lang w:val="en-US"/>
        </w:rPr>
      </w:pPr>
      <w:r w:rsidRPr="00594A76">
        <w:rPr>
          <w:rFonts w:ascii="Times New Roman" w:eastAsiaTheme="majorEastAsia" w:hAnsi="Times New Roman" w:cs="Times New Roman"/>
          <w:noProof/>
          <w:kern w:val="0"/>
          <w:sz w:val="24"/>
          <w:szCs w:val="24"/>
          <w:lang w:val="en-US"/>
          <w14:ligatures w14:val="none"/>
        </w:rPr>
        <w:t>4.2 Results</w:t>
      </w:r>
      <w:r w:rsidRPr="00594A76">
        <w:rPr>
          <w:rFonts w:ascii="Times New Roman" w:eastAsiaTheme="majorEastAsia" w:hAnsi="Times New Roman" w:cs="Times New Roman"/>
          <w:noProof/>
          <w:kern w:val="0"/>
          <w:sz w:val="24"/>
          <w:szCs w:val="24"/>
          <w:lang w:val="en-US"/>
          <w14:ligatures w14:val="none"/>
        </w:rPr>
        <w:tab/>
      </w:r>
    </w:p>
    <w:p w14:paraId="1CA04A45" w14:textId="36FA4D2B" w:rsidR="00B36536" w:rsidRPr="0098127B" w:rsidRDefault="00B36536" w:rsidP="00E73956">
      <w:pPr>
        <w:pStyle w:val="TOC2"/>
        <w:rPr>
          <w:rStyle w:val="Hyperlink"/>
          <w:b w:val="0"/>
          <w:bCs w:val="0"/>
          <w:color w:val="000000" w:themeColor="text1"/>
          <w:u w:val="none"/>
        </w:rPr>
      </w:pPr>
      <w:r w:rsidRPr="0098127B">
        <w:rPr>
          <w:rStyle w:val="Hyperlink"/>
          <w:color w:val="000000" w:themeColor="text1"/>
          <w:u w:val="none"/>
        </w:rPr>
        <w:t xml:space="preserve">Chapter Five: </w:t>
      </w:r>
      <w:r w:rsidR="00D433F0" w:rsidRPr="00D433F0">
        <w:rPr>
          <w:rStyle w:val="Hyperlink"/>
          <w:color w:val="000000" w:themeColor="text1"/>
          <w:u w:val="none"/>
        </w:rPr>
        <w:t>Conclusion and Implications</w:t>
      </w:r>
      <w:r w:rsidRPr="0098127B">
        <w:rPr>
          <w:rStyle w:val="Hyperlink"/>
          <w:color w:val="000000" w:themeColor="text1"/>
          <w:u w:val="none"/>
        </w:rPr>
        <w:tab/>
      </w:r>
    </w:p>
    <w:p w14:paraId="3130C1C8" w14:textId="63053C11" w:rsidR="00B36536" w:rsidRPr="00E73956" w:rsidRDefault="00B36536" w:rsidP="00E73956">
      <w:pPr>
        <w:pStyle w:val="TOC2"/>
        <w:rPr>
          <w:rStyle w:val="Hyperlink"/>
          <w:b w:val="0"/>
          <w:bCs w:val="0"/>
          <w:color w:val="000000" w:themeColor="text1"/>
          <w:u w:val="none"/>
        </w:rPr>
      </w:pPr>
      <w:r w:rsidRPr="00E73956">
        <w:rPr>
          <w:rStyle w:val="Hyperlink"/>
          <w:b w:val="0"/>
          <w:bCs w:val="0"/>
          <w:color w:val="000000" w:themeColor="text1"/>
          <w:u w:val="none"/>
        </w:rPr>
        <w:t>5.1 Introduction</w:t>
      </w:r>
      <w:r w:rsidRPr="00E73956">
        <w:rPr>
          <w:rStyle w:val="Hyperlink"/>
          <w:b w:val="0"/>
          <w:bCs w:val="0"/>
          <w:color w:val="000000" w:themeColor="text1"/>
          <w:u w:val="none"/>
        </w:rPr>
        <w:tab/>
      </w:r>
    </w:p>
    <w:p w14:paraId="3686E216" w14:textId="4D1D366B" w:rsidR="00B36536" w:rsidRPr="00E73956" w:rsidRDefault="00B36536" w:rsidP="00E73956">
      <w:pPr>
        <w:pStyle w:val="TOC2"/>
        <w:rPr>
          <w:rStyle w:val="Hyperlink"/>
          <w:b w:val="0"/>
          <w:bCs w:val="0"/>
          <w:color w:val="000000" w:themeColor="text1"/>
          <w:u w:val="none"/>
        </w:rPr>
      </w:pPr>
      <w:r w:rsidRPr="00E73956">
        <w:rPr>
          <w:rStyle w:val="Hyperlink"/>
          <w:b w:val="0"/>
          <w:bCs w:val="0"/>
          <w:color w:val="000000" w:themeColor="text1"/>
          <w:u w:val="none"/>
        </w:rPr>
        <w:lastRenderedPageBreak/>
        <w:t>5.2 Discussion</w:t>
      </w:r>
      <w:r w:rsidRPr="00E73956">
        <w:rPr>
          <w:rStyle w:val="Hyperlink"/>
          <w:b w:val="0"/>
          <w:bCs w:val="0"/>
          <w:color w:val="000000" w:themeColor="text1"/>
          <w:u w:val="none"/>
        </w:rPr>
        <w:tab/>
      </w:r>
    </w:p>
    <w:p w14:paraId="6F9C23F5" w14:textId="74BD72EC" w:rsidR="00B36536" w:rsidRPr="00E73956" w:rsidRDefault="00B36536" w:rsidP="00E73956">
      <w:pPr>
        <w:pStyle w:val="TOC2"/>
        <w:rPr>
          <w:rStyle w:val="Hyperlink"/>
          <w:b w:val="0"/>
          <w:bCs w:val="0"/>
          <w:color w:val="000000" w:themeColor="text1"/>
          <w:u w:val="none"/>
        </w:rPr>
      </w:pPr>
      <w:r w:rsidRPr="00E73956">
        <w:rPr>
          <w:rStyle w:val="Hyperlink"/>
          <w:b w:val="0"/>
          <w:bCs w:val="0"/>
          <w:color w:val="000000" w:themeColor="text1"/>
          <w:u w:val="none"/>
        </w:rPr>
        <w:t>5.3 Conclusion</w:t>
      </w:r>
      <w:r w:rsidRPr="00E73956">
        <w:rPr>
          <w:rStyle w:val="Hyperlink"/>
          <w:b w:val="0"/>
          <w:bCs w:val="0"/>
          <w:color w:val="000000" w:themeColor="text1"/>
          <w:u w:val="none"/>
        </w:rPr>
        <w:tab/>
      </w:r>
    </w:p>
    <w:p w14:paraId="541C5029" w14:textId="22EEAF96" w:rsidR="00B36536" w:rsidRPr="00E73956" w:rsidRDefault="00B36536" w:rsidP="00E73956">
      <w:pPr>
        <w:pStyle w:val="TOC2"/>
        <w:rPr>
          <w:rStyle w:val="Hyperlink"/>
          <w:b w:val="0"/>
          <w:bCs w:val="0"/>
          <w:color w:val="000000" w:themeColor="text1"/>
          <w:u w:val="none"/>
        </w:rPr>
      </w:pPr>
      <w:r w:rsidRPr="00E73956">
        <w:rPr>
          <w:rStyle w:val="Hyperlink"/>
          <w:b w:val="0"/>
          <w:bCs w:val="0"/>
          <w:color w:val="000000" w:themeColor="text1"/>
          <w:u w:val="none"/>
        </w:rPr>
        <w:t>5.4 Pedagogical Implications</w:t>
      </w:r>
      <w:r w:rsidRPr="00E73956">
        <w:rPr>
          <w:rStyle w:val="Hyperlink"/>
          <w:b w:val="0"/>
          <w:bCs w:val="0"/>
          <w:color w:val="000000" w:themeColor="text1"/>
          <w:u w:val="none"/>
        </w:rPr>
        <w:tab/>
      </w:r>
    </w:p>
    <w:p w14:paraId="5D3C0CEF" w14:textId="39D2DE0A" w:rsidR="00B36536" w:rsidRPr="00E73956" w:rsidRDefault="00B36536" w:rsidP="00E73956">
      <w:pPr>
        <w:pStyle w:val="TOC2"/>
        <w:rPr>
          <w:rStyle w:val="Hyperlink"/>
          <w:b w:val="0"/>
          <w:bCs w:val="0"/>
          <w:color w:val="000000" w:themeColor="text1"/>
          <w:u w:val="none"/>
        </w:rPr>
      </w:pPr>
      <w:r w:rsidRPr="00E73956">
        <w:rPr>
          <w:rStyle w:val="Hyperlink"/>
          <w:b w:val="0"/>
          <w:bCs w:val="0"/>
          <w:color w:val="000000" w:themeColor="text1"/>
          <w:u w:val="none"/>
        </w:rPr>
        <w:t>5.5 Suggestions for Future Studies</w:t>
      </w:r>
      <w:r w:rsidRPr="00E73956">
        <w:rPr>
          <w:rStyle w:val="Hyperlink"/>
          <w:b w:val="0"/>
          <w:bCs w:val="0"/>
          <w:color w:val="000000" w:themeColor="text1"/>
          <w:u w:val="none"/>
        </w:rPr>
        <w:tab/>
      </w:r>
    </w:p>
    <w:p w14:paraId="4615E59F" w14:textId="77777777" w:rsidR="00D433F0" w:rsidRPr="002D6FF8" w:rsidRDefault="00D433F0" w:rsidP="00E73956">
      <w:pPr>
        <w:pStyle w:val="TOC2"/>
        <w:rPr>
          <w:rStyle w:val="Hyperlink"/>
          <w:b w:val="0"/>
          <w:bCs w:val="0"/>
          <w:color w:val="auto"/>
          <w:u w:val="none"/>
        </w:rPr>
      </w:pPr>
      <w:r w:rsidRPr="002D6FF8">
        <w:rPr>
          <w:rStyle w:val="Hyperlink"/>
          <w:color w:val="auto"/>
          <w:u w:val="none"/>
        </w:rPr>
        <w:t>References</w:t>
      </w:r>
      <w:r w:rsidRPr="002D6FF8">
        <w:rPr>
          <w:rStyle w:val="Hyperlink"/>
          <w:color w:val="auto"/>
          <w:u w:val="none"/>
        </w:rPr>
        <w:tab/>
        <w:t xml:space="preserve"> </w:t>
      </w:r>
    </w:p>
    <w:p w14:paraId="5116DE73" w14:textId="77777777" w:rsidR="00D433F0" w:rsidRPr="00594A76" w:rsidRDefault="00D433F0" w:rsidP="00D433F0">
      <w:pPr>
        <w:tabs>
          <w:tab w:val="left" w:pos="720"/>
          <w:tab w:val="right" w:leader="dot" w:pos="9015"/>
        </w:tabs>
        <w:spacing w:after="100" w:line="480" w:lineRule="auto"/>
        <w:jc w:val="both"/>
        <w:rPr>
          <w:rFonts w:ascii="Times New Roman" w:eastAsiaTheme="majorEastAsia" w:hAnsi="Times New Roman" w:cs="Times New Roman"/>
          <w:b/>
          <w:bCs/>
          <w:noProof/>
          <w:kern w:val="0"/>
          <w:sz w:val="24"/>
          <w:szCs w:val="24"/>
          <w:lang w:val="en-US"/>
          <w14:ligatures w14:val="none"/>
        </w:rPr>
      </w:pPr>
      <w:r w:rsidRPr="00594A76">
        <w:rPr>
          <w:rFonts w:ascii="Times New Roman" w:eastAsiaTheme="majorEastAsia" w:hAnsi="Times New Roman" w:cs="Times New Roman"/>
          <w:b/>
          <w:bCs/>
          <w:noProof/>
          <w:kern w:val="0"/>
          <w:sz w:val="24"/>
          <w:szCs w:val="24"/>
          <w:lang w:val="en-US"/>
          <w14:ligatures w14:val="none"/>
        </w:rPr>
        <w:t>Appendices</w:t>
      </w:r>
      <w:r w:rsidRPr="00594A76">
        <w:rPr>
          <w:rFonts w:ascii="Times New Roman" w:eastAsiaTheme="majorEastAsia" w:hAnsi="Times New Roman" w:cs="Times New Roman"/>
          <w:b/>
          <w:bCs/>
          <w:noProof/>
          <w:kern w:val="0"/>
          <w:sz w:val="24"/>
          <w:szCs w:val="24"/>
          <w:lang w:val="en-US"/>
          <w14:ligatures w14:val="none"/>
        </w:rPr>
        <w:tab/>
      </w:r>
    </w:p>
    <w:p w14:paraId="7560CBDF" w14:textId="7F474973" w:rsidR="00D433F0" w:rsidRPr="00594A76" w:rsidRDefault="00D433F0" w:rsidP="00D433F0">
      <w:pPr>
        <w:tabs>
          <w:tab w:val="left" w:pos="720"/>
          <w:tab w:val="right" w:leader="dot" w:pos="9015"/>
        </w:tabs>
        <w:spacing w:after="100" w:line="480" w:lineRule="auto"/>
        <w:jc w:val="both"/>
        <w:rPr>
          <w:rFonts w:ascii="Times New Roman" w:eastAsiaTheme="majorEastAsia" w:hAnsi="Times New Roman" w:cs="Times New Roman"/>
          <w:noProof/>
          <w:kern w:val="0"/>
          <w:sz w:val="24"/>
          <w:szCs w:val="24"/>
          <w:lang w:val="en-US"/>
          <w14:ligatures w14:val="none"/>
        </w:rPr>
      </w:pPr>
      <w:r w:rsidRPr="00594A76">
        <w:rPr>
          <w:rFonts w:ascii="Times New Roman" w:eastAsiaTheme="majorEastAsia" w:hAnsi="Times New Roman" w:cs="Times New Roman"/>
          <w:noProof/>
          <w:kern w:val="0"/>
          <w:sz w:val="24"/>
          <w:szCs w:val="24"/>
          <w:lang w:val="en-US"/>
          <w14:ligatures w14:val="none"/>
        </w:rPr>
        <w:t xml:space="preserve">Appendix A: </w:t>
      </w:r>
      <w:r w:rsidR="002D6FF8" w:rsidRPr="002D6FF8">
        <w:rPr>
          <w:rFonts w:ascii="Times New Roman" w:eastAsiaTheme="majorEastAsia" w:hAnsi="Times New Roman" w:cs="Times New Roman"/>
          <w:noProof/>
          <w:kern w:val="0"/>
          <w:sz w:val="24"/>
          <w:szCs w:val="24"/>
          <w:lang w:val="en-US"/>
          <w14:ligatures w14:val="none"/>
        </w:rPr>
        <w:t>Checklist</w:t>
      </w:r>
      <w:r w:rsidRPr="00594A76">
        <w:rPr>
          <w:rFonts w:ascii="Times New Roman" w:eastAsiaTheme="majorEastAsia" w:hAnsi="Times New Roman" w:cs="Times New Roman"/>
          <w:noProof/>
          <w:kern w:val="0"/>
          <w:sz w:val="24"/>
          <w:szCs w:val="24"/>
          <w:lang w:val="en-US"/>
          <w14:ligatures w14:val="none"/>
        </w:rPr>
        <w:tab/>
      </w:r>
    </w:p>
    <w:p w14:paraId="0FF1254D" w14:textId="77777777" w:rsidR="00B36536" w:rsidRPr="0098127B" w:rsidRDefault="00B36536" w:rsidP="00B36536">
      <w:pPr>
        <w:rPr>
          <w:lang w:val="en-US"/>
        </w:rPr>
      </w:pPr>
    </w:p>
    <w:p w14:paraId="09010DE4" w14:textId="19B7D9C1" w:rsidR="0002629E" w:rsidRPr="0098127B" w:rsidRDefault="0002629E" w:rsidP="0002629E">
      <w:pPr>
        <w:spacing w:line="480" w:lineRule="auto"/>
        <w:rPr>
          <w:rFonts w:asciiTheme="majorBidi" w:hAnsiTheme="majorBidi" w:cstheme="majorBidi"/>
          <w:b/>
          <w:bCs/>
          <w:sz w:val="28"/>
          <w:szCs w:val="28"/>
        </w:rPr>
      </w:pPr>
    </w:p>
    <w:p w14:paraId="3D296F7F" w14:textId="6CD9B5BD" w:rsidR="008379AE" w:rsidRDefault="008379AE" w:rsidP="0002629E">
      <w:pPr>
        <w:spacing w:line="480" w:lineRule="auto"/>
        <w:rPr>
          <w:rFonts w:asciiTheme="majorBidi" w:hAnsiTheme="majorBidi" w:cstheme="majorBidi"/>
          <w:b/>
          <w:bCs/>
          <w:sz w:val="28"/>
          <w:szCs w:val="28"/>
        </w:rPr>
      </w:pPr>
    </w:p>
    <w:p w14:paraId="771E0254" w14:textId="77777777" w:rsidR="002D6FF8" w:rsidRPr="0098127B" w:rsidRDefault="002D6FF8" w:rsidP="0002629E">
      <w:pPr>
        <w:spacing w:line="480" w:lineRule="auto"/>
        <w:rPr>
          <w:rFonts w:asciiTheme="majorBidi" w:hAnsiTheme="majorBidi" w:cstheme="majorBidi"/>
          <w:b/>
          <w:bCs/>
          <w:sz w:val="28"/>
          <w:szCs w:val="28"/>
        </w:rPr>
      </w:pPr>
    </w:p>
    <w:p w14:paraId="1B6971DF" w14:textId="37422CD6" w:rsidR="008379AE" w:rsidRPr="0098127B" w:rsidRDefault="008379AE" w:rsidP="0002629E">
      <w:pPr>
        <w:spacing w:line="480" w:lineRule="auto"/>
        <w:rPr>
          <w:rFonts w:asciiTheme="majorBidi" w:hAnsiTheme="majorBidi" w:cstheme="majorBidi"/>
          <w:b/>
          <w:bCs/>
          <w:sz w:val="28"/>
          <w:szCs w:val="28"/>
        </w:rPr>
      </w:pPr>
    </w:p>
    <w:p w14:paraId="5CCFE89D" w14:textId="77777777" w:rsidR="00D500AD" w:rsidRPr="0098127B" w:rsidRDefault="00D500AD" w:rsidP="0002629E">
      <w:pPr>
        <w:spacing w:line="480" w:lineRule="auto"/>
        <w:rPr>
          <w:rFonts w:asciiTheme="majorBidi" w:hAnsiTheme="majorBidi" w:cstheme="majorBidi"/>
          <w:b/>
          <w:bCs/>
          <w:sz w:val="28"/>
          <w:szCs w:val="28"/>
        </w:rPr>
      </w:pPr>
    </w:p>
    <w:p w14:paraId="2DF6CE1E" w14:textId="554C354B" w:rsidR="003618BC" w:rsidRDefault="003618BC" w:rsidP="00E92EEA">
      <w:pPr>
        <w:spacing w:line="480" w:lineRule="auto"/>
        <w:jc w:val="center"/>
        <w:rPr>
          <w:rFonts w:ascii="Times New Roman" w:eastAsia="Calibri" w:hAnsi="Times New Roman" w:cs="Times New Roman"/>
          <w:b/>
          <w:bCs/>
          <w:color w:val="000000"/>
          <w:sz w:val="28"/>
          <w:szCs w:val="28"/>
          <w:lang w:val="en-US"/>
        </w:rPr>
      </w:pPr>
    </w:p>
    <w:p w14:paraId="67A563EC" w14:textId="77777777" w:rsidR="002D6FF8" w:rsidRDefault="002D6FF8" w:rsidP="006E66DC">
      <w:pPr>
        <w:tabs>
          <w:tab w:val="left" w:pos="2700"/>
        </w:tabs>
        <w:spacing w:line="480" w:lineRule="auto"/>
        <w:jc w:val="center"/>
        <w:rPr>
          <w:rFonts w:ascii="Times New Roman" w:eastAsia="Calibri" w:hAnsi="Times New Roman" w:cs="Times New Roman"/>
          <w:b/>
          <w:bCs/>
          <w:color w:val="000000"/>
          <w:sz w:val="28"/>
          <w:szCs w:val="28"/>
          <w:lang w:val="en-US"/>
        </w:rPr>
      </w:pPr>
    </w:p>
    <w:p w14:paraId="7E7B8755" w14:textId="6403D677" w:rsidR="003618BC" w:rsidRDefault="003618BC" w:rsidP="00E92EEA">
      <w:pPr>
        <w:spacing w:line="480" w:lineRule="auto"/>
        <w:jc w:val="center"/>
        <w:rPr>
          <w:rFonts w:ascii="Times New Roman" w:eastAsia="Calibri" w:hAnsi="Times New Roman" w:cs="Times New Roman"/>
          <w:b/>
          <w:bCs/>
          <w:color w:val="000000"/>
          <w:sz w:val="28"/>
          <w:szCs w:val="28"/>
          <w:lang w:val="en-US"/>
        </w:rPr>
      </w:pPr>
    </w:p>
    <w:p w14:paraId="0247868D" w14:textId="0D01713E" w:rsidR="003618BC" w:rsidRDefault="003618BC" w:rsidP="00E92EEA">
      <w:pPr>
        <w:spacing w:line="480" w:lineRule="auto"/>
        <w:jc w:val="center"/>
        <w:rPr>
          <w:rFonts w:ascii="Times New Roman" w:eastAsia="Calibri" w:hAnsi="Times New Roman" w:cs="Times New Roman"/>
          <w:b/>
          <w:bCs/>
          <w:color w:val="000000"/>
          <w:sz w:val="28"/>
          <w:szCs w:val="28"/>
          <w:lang w:val="en-US"/>
        </w:rPr>
      </w:pPr>
    </w:p>
    <w:p w14:paraId="0B621CD7" w14:textId="4DF908E3" w:rsidR="003618BC" w:rsidRDefault="003618BC" w:rsidP="00E92EEA">
      <w:pPr>
        <w:spacing w:line="480" w:lineRule="auto"/>
        <w:jc w:val="center"/>
        <w:rPr>
          <w:rFonts w:ascii="Times New Roman" w:eastAsia="Calibri" w:hAnsi="Times New Roman" w:cs="Times New Roman"/>
          <w:b/>
          <w:bCs/>
          <w:color w:val="000000"/>
          <w:sz w:val="28"/>
          <w:szCs w:val="28"/>
          <w:lang w:val="en-US"/>
        </w:rPr>
      </w:pPr>
    </w:p>
    <w:p w14:paraId="65D6BE2A" w14:textId="7A4A3210" w:rsidR="003618BC" w:rsidRDefault="003618BC" w:rsidP="00E92EEA">
      <w:pPr>
        <w:spacing w:line="480" w:lineRule="auto"/>
        <w:jc w:val="center"/>
        <w:rPr>
          <w:rFonts w:ascii="Times New Roman" w:eastAsia="Calibri" w:hAnsi="Times New Roman" w:cs="Times New Roman"/>
          <w:b/>
          <w:bCs/>
          <w:color w:val="000000"/>
          <w:sz w:val="28"/>
          <w:szCs w:val="28"/>
          <w:lang w:val="en-US"/>
        </w:rPr>
      </w:pPr>
    </w:p>
    <w:p w14:paraId="092755E6" w14:textId="2F1BAF78"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r w:rsidRPr="0098127B">
        <w:rPr>
          <w:rFonts w:ascii="Times New Roman" w:eastAsia="Calibri" w:hAnsi="Times New Roman" w:cs="Times New Roman"/>
          <w:b/>
          <w:bCs/>
          <w:color w:val="000000"/>
          <w:sz w:val="28"/>
          <w:szCs w:val="28"/>
          <w:lang w:val="en-US"/>
        </w:rPr>
        <w:lastRenderedPageBreak/>
        <w:t>List of Tables</w:t>
      </w:r>
    </w:p>
    <w:p w14:paraId="5DB59903" w14:textId="5B264187" w:rsidR="00D500AD" w:rsidRPr="002E7C35" w:rsidRDefault="00D500AD" w:rsidP="00E73956">
      <w:pPr>
        <w:pStyle w:val="TOC2"/>
        <w:rPr>
          <w:rStyle w:val="Hyperlink"/>
          <w:b w:val="0"/>
          <w:bCs w:val="0"/>
          <w:color w:val="000000" w:themeColor="text1"/>
          <w:u w:val="none"/>
        </w:rPr>
      </w:pPr>
      <w:r w:rsidRPr="002E7C35">
        <w:rPr>
          <w:rStyle w:val="Hyperlink"/>
          <w:b w:val="0"/>
          <w:bCs w:val="0"/>
          <w:color w:val="000000" w:themeColor="text1"/>
          <w:u w:val="none"/>
        </w:rPr>
        <w:t>Table 3.1 English for Iraq Series</w:t>
      </w:r>
      <w:r w:rsidRPr="002E7C35">
        <w:rPr>
          <w:rStyle w:val="Hyperlink"/>
          <w:b w:val="0"/>
          <w:bCs w:val="0"/>
          <w:color w:val="000000" w:themeColor="text1"/>
          <w:u w:val="none"/>
        </w:rPr>
        <w:tab/>
      </w:r>
    </w:p>
    <w:p w14:paraId="381313E3" w14:textId="65ACCEF4" w:rsidR="00D500AD" w:rsidRPr="002E7C35" w:rsidRDefault="00D500AD" w:rsidP="00E73956">
      <w:pPr>
        <w:pStyle w:val="TOC2"/>
        <w:rPr>
          <w:rStyle w:val="Hyperlink"/>
          <w:b w:val="0"/>
          <w:bCs w:val="0"/>
          <w:color w:val="000000" w:themeColor="text1"/>
          <w:u w:val="none"/>
        </w:rPr>
      </w:pPr>
      <w:r w:rsidRPr="002E7C35">
        <w:rPr>
          <w:rStyle w:val="Hyperlink"/>
          <w:b w:val="0"/>
          <w:bCs w:val="0"/>
          <w:color w:val="000000" w:themeColor="text1"/>
          <w:u w:val="none"/>
        </w:rPr>
        <w:t>Table 3.2 Prospect Series</w:t>
      </w:r>
      <w:r w:rsidRPr="002E7C35">
        <w:rPr>
          <w:rStyle w:val="Hyperlink"/>
          <w:b w:val="0"/>
          <w:bCs w:val="0"/>
          <w:color w:val="000000" w:themeColor="text1"/>
          <w:u w:val="none"/>
        </w:rPr>
        <w:tab/>
      </w:r>
    </w:p>
    <w:p w14:paraId="23A8E5EA" w14:textId="77777777" w:rsidR="003803C2" w:rsidRDefault="003803C2" w:rsidP="003803C2">
      <w:pPr>
        <w:spacing w:line="480" w:lineRule="auto"/>
        <w:rPr>
          <w:rStyle w:val="Hyperlink"/>
          <w:b/>
          <w:bCs/>
          <w:color w:val="000000" w:themeColor="text1"/>
          <w:u w:val="none"/>
        </w:rPr>
      </w:pPr>
      <w:r w:rsidRPr="003803C2">
        <w:rPr>
          <w:rFonts w:ascii="Times New Roman" w:eastAsia="Times New Roman" w:hAnsi="Times New Roman" w:cs="Times New Roman"/>
          <w:noProof/>
          <w:color w:val="000000"/>
          <w:kern w:val="0"/>
          <w:sz w:val="24"/>
          <w:szCs w:val="24"/>
          <w:lang w:val="en-US"/>
          <w14:ligatures w14:val="none"/>
        </w:rPr>
        <w:t>Table 4.1</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Physical and Aesthetic Features</w:t>
      </w:r>
      <w:r>
        <w:rPr>
          <w:rFonts w:ascii="Times New Roman" w:eastAsia="Times New Roman" w:hAnsi="Times New Roman" w:cs="Times New Roman"/>
          <w:noProof/>
          <w:color w:val="000000"/>
          <w:kern w:val="0"/>
          <w:sz w:val="24"/>
          <w:szCs w:val="24"/>
          <w:lang w:val="en-US"/>
          <w14:ligatures w14:val="none"/>
        </w:rPr>
        <w:t>……………………………………………………..</w:t>
      </w:r>
    </w:p>
    <w:p w14:paraId="3E94D838" w14:textId="6E89C14C" w:rsidR="003803C2" w:rsidRPr="003803C2"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4.2</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Objectives</w:t>
      </w:r>
      <w:r>
        <w:rPr>
          <w:rFonts w:ascii="Times New Roman" w:eastAsia="Times New Roman" w:hAnsi="Times New Roman" w:cs="Times New Roman"/>
          <w:noProof/>
          <w:color w:val="000000"/>
          <w:kern w:val="0"/>
          <w:sz w:val="24"/>
          <w:szCs w:val="24"/>
          <w:lang w:val="en-US"/>
          <w14:ligatures w14:val="none"/>
        </w:rPr>
        <w:t>…………………………………………………………..……………….</w:t>
      </w:r>
    </w:p>
    <w:p w14:paraId="4491DA8F" w14:textId="222F6866" w:rsidR="003803C2" w:rsidRPr="003803C2"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4.3</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Subject Matter and Content Coverage</w:t>
      </w:r>
      <w:r>
        <w:rPr>
          <w:rFonts w:ascii="Times New Roman" w:eastAsia="Times New Roman" w:hAnsi="Times New Roman" w:cs="Times New Roman"/>
          <w:noProof/>
          <w:color w:val="000000"/>
          <w:kern w:val="0"/>
          <w:sz w:val="24"/>
          <w:szCs w:val="24"/>
          <w:lang w:val="en-US"/>
          <w14:ligatures w14:val="none"/>
        </w:rPr>
        <w:t>…………………………………………..….</w:t>
      </w:r>
    </w:p>
    <w:p w14:paraId="3A0070A3" w14:textId="5DEAF078" w:rsidR="003803C2" w:rsidRPr="003803C2"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4.4</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Language Type and Level</w:t>
      </w:r>
      <w:r>
        <w:rPr>
          <w:rFonts w:ascii="Times New Roman" w:eastAsia="Times New Roman" w:hAnsi="Times New Roman" w:cs="Times New Roman"/>
          <w:noProof/>
          <w:color w:val="000000"/>
          <w:kern w:val="0"/>
          <w:sz w:val="24"/>
          <w:szCs w:val="24"/>
          <w:lang w:val="en-US"/>
          <w14:ligatures w14:val="none"/>
        </w:rPr>
        <w:t>…………………………………………………………..</w:t>
      </w:r>
    </w:p>
    <w:p w14:paraId="6E67D788" w14:textId="0B0AA334" w:rsidR="003803C2" w:rsidRPr="003803C2"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4.5</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Skills Integration and Practice Activities</w:t>
      </w:r>
      <w:r>
        <w:rPr>
          <w:rFonts w:ascii="Times New Roman" w:eastAsia="Times New Roman" w:hAnsi="Times New Roman" w:cs="Times New Roman"/>
          <w:noProof/>
          <w:color w:val="000000"/>
          <w:kern w:val="0"/>
          <w:sz w:val="24"/>
          <w:szCs w:val="24"/>
          <w:lang w:val="en-US"/>
          <w14:ligatures w14:val="none"/>
        </w:rPr>
        <w:t>………………………….…………..……</w:t>
      </w:r>
    </w:p>
    <w:p w14:paraId="282A7541" w14:textId="05C87505" w:rsidR="003803C2" w:rsidRPr="003803C2"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4.6</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Methodology and Teaching Approaches</w:t>
      </w:r>
      <w:r>
        <w:rPr>
          <w:rFonts w:ascii="Times New Roman" w:eastAsia="Times New Roman" w:hAnsi="Times New Roman" w:cs="Times New Roman"/>
          <w:noProof/>
          <w:color w:val="000000"/>
          <w:kern w:val="0"/>
          <w:sz w:val="24"/>
          <w:szCs w:val="24"/>
          <w:lang w:val="en-US"/>
          <w14:ligatures w14:val="none"/>
        </w:rPr>
        <w:t>………………………………………..….</w:t>
      </w:r>
    </w:p>
    <w:p w14:paraId="77D31E90" w14:textId="30AD2030" w:rsidR="003803C2" w:rsidRPr="003803C2"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4.7</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Supporting Materials and Supplementary Resources</w:t>
      </w:r>
      <w:r>
        <w:rPr>
          <w:rFonts w:ascii="Times New Roman" w:eastAsia="Times New Roman" w:hAnsi="Times New Roman" w:cs="Times New Roman"/>
          <w:noProof/>
          <w:color w:val="000000"/>
          <w:kern w:val="0"/>
          <w:sz w:val="24"/>
          <w:szCs w:val="24"/>
          <w:lang w:val="en-US"/>
          <w14:ligatures w14:val="none"/>
        </w:rPr>
        <w:t>…………………………….…</w:t>
      </w:r>
    </w:p>
    <w:p w14:paraId="6A12C868" w14:textId="61CC287B" w:rsidR="003803C2" w:rsidRPr="003803C2"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4.8</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Cultural Representation and Intercultural Communicative Competence</w:t>
      </w:r>
      <w:r>
        <w:rPr>
          <w:rFonts w:ascii="Times New Roman" w:eastAsia="Times New Roman" w:hAnsi="Times New Roman" w:cs="Times New Roman"/>
          <w:noProof/>
          <w:color w:val="000000"/>
          <w:kern w:val="0"/>
          <w:sz w:val="24"/>
          <w:szCs w:val="24"/>
          <w:lang w:val="en-US"/>
          <w14:ligatures w14:val="none"/>
        </w:rPr>
        <w:t>…………..</w:t>
      </w:r>
    </w:p>
    <w:p w14:paraId="529A9AAE" w14:textId="50E81011" w:rsidR="00E92EEA" w:rsidRPr="0098127B" w:rsidRDefault="003803C2" w:rsidP="003803C2">
      <w:pPr>
        <w:spacing w:line="480" w:lineRule="auto"/>
        <w:rPr>
          <w:rFonts w:ascii="Times New Roman" w:eastAsia="Times New Roman" w:hAnsi="Times New Roman" w:cs="Times New Roman"/>
          <w:noProof/>
          <w:color w:val="000000"/>
          <w:kern w:val="0"/>
          <w:sz w:val="24"/>
          <w:szCs w:val="24"/>
          <w:lang w:val="en-US"/>
          <w14:ligatures w14:val="none"/>
        </w:rPr>
      </w:pPr>
      <w:r w:rsidRPr="003803C2">
        <w:rPr>
          <w:rFonts w:ascii="Times New Roman" w:eastAsia="Times New Roman" w:hAnsi="Times New Roman" w:cs="Times New Roman"/>
          <w:noProof/>
          <w:color w:val="000000"/>
          <w:kern w:val="0"/>
          <w:sz w:val="24"/>
          <w:szCs w:val="24"/>
          <w:lang w:val="en-US"/>
          <w14:ligatures w14:val="none"/>
        </w:rPr>
        <w:t>Table 4.9</w:t>
      </w:r>
      <w:r>
        <w:rPr>
          <w:rFonts w:ascii="Times New Roman" w:eastAsia="Times New Roman" w:hAnsi="Times New Roman" w:cs="Times New Roman"/>
          <w:noProof/>
          <w:color w:val="000000"/>
          <w:kern w:val="0"/>
          <w:sz w:val="24"/>
          <w:szCs w:val="24"/>
          <w:lang w:val="en-US"/>
          <w14:ligatures w14:val="none"/>
        </w:rPr>
        <w:t xml:space="preserve"> </w:t>
      </w:r>
      <w:r w:rsidRPr="003803C2">
        <w:rPr>
          <w:rFonts w:ascii="Times New Roman" w:eastAsia="Times New Roman" w:hAnsi="Times New Roman" w:cs="Times New Roman"/>
          <w:noProof/>
          <w:color w:val="000000"/>
          <w:kern w:val="0"/>
          <w:sz w:val="24"/>
          <w:szCs w:val="24"/>
          <w:lang w:val="en-US"/>
          <w14:ligatures w14:val="none"/>
        </w:rPr>
        <w:t>Consolidated Comparison of Checklist Dimensions</w:t>
      </w:r>
      <w:r>
        <w:rPr>
          <w:rFonts w:ascii="Times New Roman" w:eastAsia="Times New Roman" w:hAnsi="Times New Roman" w:cs="Times New Roman"/>
          <w:noProof/>
          <w:color w:val="000000"/>
          <w:kern w:val="0"/>
          <w:sz w:val="24"/>
          <w:szCs w:val="24"/>
          <w:lang w:val="en-US"/>
          <w14:ligatures w14:val="none"/>
        </w:rPr>
        <w:t>……………………………….</w:t>
      </w:r>
    </w:p>
    <w:p w14:paraId="4EB4C74D" w14:textId="084EC43F" w:rsidR="00E92EEA" w:rsidRPr="0098127B" w:rsidRDefault="00E92EEA" w:rsidP="00E92EEA">
      <w:pPr>
        <w:spacing w:line="480" w:lineRule="auto"/>
        <w:jc w:val="center"/>
        <w:rPr>
          <w:rFonts w:ascii="Times New Roman" w:eastAsia="Times New Roman" w:hAnsi="Times New Roman" w:cs="Times New Roman"/>
          <w:noProof/>
          <w:color w:val="000000"/>
          <w:kern w:val="0"/>
          <w:sz w:val="24"/>
          <w:szCs w:val="24"/>
          <w:lang w:val="en-US"/>
          <w14:ligatures w14:val="none"/>
        </w:rPr>
      </w:pPr>
    </w:p>
    <w:p w14:paraId="50CB4E3F" w14:textId="77777777"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p>
    <w:p w14:paraId="102CEF8A" w14:textId="77777777"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p>
    <w:p w14:paraId="26EE2AF2" w14:textId="77777777"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p>
    <w:p w14:paraId="19F24708" w14:textId="77777777"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p>
    <w:p w14:paraId="7E9BAB76" w14:textId="77777777"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p>
    <w:p w14:paraId="350DB87E" w14:textId="77777777"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p>
    <w:p w14:paraId="081CCF54" w14:textId="77777777" w:rsidR="00E92EEA" w:rsidRPr="0098127B" w:rsidRDefault="00E92EEA" w:rsidP="00E92EEA">
      <w:pPr>
        <w:spacing w:line="480" w:lineRule="auto"/>
        <w:jc w:val="center"/>
        <w:rPr>
          <w:rFonts w:ascii="Times New Roman" w:eastAsia="Calibri" w:hAnsi="Times New Roman" w:cs="Times New Roman"/>
          <w:b/>
          <w:bCs/>
          <w:color w:val="000000"/>
          <w:sz w:val="28"/>
          <w:szCs w:val="28"/>
          <w:lang w:val="en-US"/>
        </w:rPr>
      </w:pPr>
      <w:r w:rsidRPr="0098127B">
        <w:rPr>
          <w:rFonts w:ascii="Times New Roman" w:eastAsia="Calibri" w:hAnsi="Times New Roman" w:cs="Times New Roman"/>
          <w:b/>
          <w:bCs/>
          <w:color w:val="000000"/>
          <w:sz w:val="28"/>
          <w:szCs w:val="28"/>
          <w:lang w:val="en-US"/>
        </w:rPr>
        <w:lastRenderedPageBreak/>
        <w:t>List of Abbreviations</w:t>
      </w:r>
    </w:p>
    <w:p w14:paraId="723DBB38" w14:textId="15AF7816"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CLT: </w:t>
      </w:r>
      <w:r w:rsidRPr="0098127B">
        <w:rPr>
          <w:rFonts w:ascii="Times New Roman" w:eastAsia="Calibri" w:hAnsi="Times New Roman" w:cs="Times New Roman"/>
          <w:color w:val="000000"/>
          <w:sz w:val="24"/>
          <w:szCs w:val="24"/>
        </w:rPr>
        <w:t>Communicative Language Teaching</w:t>
      </w:r>
    </w:p>
    <w:p w14:paraId="666334EA" w14:textId="6A14690A"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ELF: </w:t>
      </w:r>
      <w:r w:rsidRPr="0098127B">
        <w:rPr>
          <w:rFonts w:ascii="Times New Roman" w:eastAsia="Calibri" w:hAnsi="Times New Roman" w:cs="Times New Roman"/>
          <w:color w:val="000000"/>
          <w:sz w:val="24"/>
          <w:szCs w:val="24"/>
        </w:rPr>
        <w:t>English as a Lingua Franca</w:t>
      </w:r>
    </w:p>
    <w:p w14:paraId="0B1C8D02" w14:textId="1B94BDAA"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ELT: </w:t>
      </w:r>
      <w:r w:rsidRPr="0098127B">
        <w:rPr>
          <w:rFonts w:ascii="Times New Roman" w:eastAsia="Calibri" w:hAnsi="Times New Roman" w:cs="Times New Roman"/>
          <w:color w:val="000000"/>
          <w:sz w:val="24"/>
          <w:szCs w:val="24"/>
        </w:rPr>
        <w:t>English Language Teaching</w:t>
      </w:r>
    </w:p>
    <w:p w14:paraId="5EB8A165" w14:textId="1C5294B7"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EMI: </w:t>
      </w:r>
      <w:r w:rsidRPr="0098127B">
        <w:rPr>
          <w:rFonts w:ascii="Times New Roman" w:eastAsia="Calibri" w:hAnsi="Times New Roman" w:cs="Times New Roman"/>
          <w:color w:val="000000"/>
          <w:sz w:val="24"/>
          <w:szCs w:val="24"/>
        </w:rPr>
        <w:t>English as a Medium of Instruction</w:t>
      </w:r>
    </w:p>
    <w:p w14:paraId="6BC022F6" w14:textId="0D7EBF6C"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FRDE: </w:t>
      </w:r>
      <w:r w:rsidRPr="0098127B">
        <w:rPr>
          <w:rFonts w:ascii="Times New Roman" w:eastAsia="Calibri" w:hAnsi="Times New Roman" w:cs="Times New Roman"/>
          <w:color w:val="000000"/>
          <w:sz w:val="24"/>
          <w:szCs w:val="24"/>
        </w:rPr>
        <w:t>Fundamental Reform Document of Education</w:t>
      </w:r>
    </w:p>
    <w:p w14:paraId="2F2EA566" w14:textId="696BB7CA"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HOTS: </w:t>
      </w:r>
      <w:r w:rsidRPr="0098127B">
        <w:rPr>
          <w:rFonts w:ascii="Times New Roman" w:eastAsia="Calibri" w:hAnsi="Times New Roman" w:cs="Times New Roman"/>
          <w:color w:val="000000"/>
          <w:sz w:val="24"/>
          <w:szCs w:val="24"/>
        </w:rPr>
        <w:t>Higher-Order Thinking Skills</w:t>
      </w:r>
    </w:p>
    <w:p w14:paraId="34381427" w14:textId="379C70A2"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ICC: </w:t>
      </w:r>
      <w:r w:rsidRPr="0098127B">
        <w:rPr>
          <w:rFonts w:ascii="Times New Roman" w:eastAsia="Calibri" w:hAnsi="Times New Roman" w:cs="Times New Roman"/>
          <w:color w:val="000000"/>
          <w:sz w:val="24"/>
          <w:szCs w:val="24"/>
        </w:rPr>
        <w:t>Intercultural Communicative Competence</w:t>
      </w:r>
    </w:p>
    <w:p w14:paraId="0AB914C6" w14:textId="3485D55A"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KRI: </w:t>
      </w:r>
      <w:r w:rsidRPr="0098127B">
        <w:rPr>
          <w:rFonts w:ascii="Times New Roman" w:eastAsia="Calibri" w:hAnsi="Times New Roman" w:cs="Times New Roman"/>
          <w:color w:val="000000"/>
          <w:sz w:val="24"/>
          <w:szCs w:val="24"/>
        </w:rPr>
        <w:t>Kurdistan Region of Iraq</w:t>
      </w:r>
    </w:p>
    <w:p w14:paraId="3CAD159A" w14:textId="5008B441"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LOTS: </w:t>
      </w:r>
      <w:r w:rsidRPr="0098127B">
        <w:rPr>
          <w:rFonts w:ascii="Times New Roman" w:eastAsia="Calibri" w:hAnsi="Times New Roman" w:cs="Times New Roman"/>
          <w:color w:val="000000"/>
          <w:sz w:val="24"/>
          <w:szCs w:val="24"/>
        </w:rPr>
        <w:t>Lower-Order Thinking Skills</w:t>
      </w:r>
    </w:p>
    <w:p w14:paraId="650E7834" w14:textId="5ED7C765" w:rsidR="003A4D42" w:rsidRPr="0098127B" w:rsidRDefault="003A4D42" w:rsidP="003A4D42">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MENA: </w:t>
      </w:r>
      <w:r w:rsidRPr="0098127B">
        <w:rPr>
          <w:rFonts w:ascii="Times New Roman" w:eastAsia="Calibri" w:hAnsi="Times New Roman" w:cs="Times New Roman"/>
          <w:color w:val="000000"/>
          <w:sz w:val="24"/>
          <w:szCs w:val="24"/>
        </w:rPr>
        <w:t>Middle East and North Africa</w:t>
      </w:r>
    </w:p>
    <w:p w14:paraId="15CDCA80" w14:textId="6B077CB5" w:rsidR="00E84BF8" w:rsidRPr="0098127B" w:rsidRDefault="003A4D42" w:rsidP="00F645F4">
      <w:pPr>
        <w:spacing w:line="480" w:lineRule="auto"/>
        <w:rPr>
          <w:rFonts w:ascii="Times New Roman" w:eastAsia="Calibri" w:hAnsi="Times New Roman" w:cs="Times New Roman"/>
          <w:b/>
          <w:bCs/>
          <w:color w:val="000000"/>
          <w:sz w:val="24"/>
          <w:szCs w:val="24"/>
        </w:rPr>
      </w:pPr>
      <w:r w:rsidRPr="0098127B">
        <w:rPr>
          <w:rFonts w:ascii="Times New Roman" w:eastAsia="Calibri" w:hAnsi="Times New Roman" w:cs="Times New Roman"/>
          <w:b/>
          <w:bCs/>
          <w:color w:val="000000"/>
          <w:sz w:val="24"/>
          <w:szCs w:val="24"/>
        </w:rPr>
        <w:t xml:space="preserve">SLO: </w:t>
      </w:r>
      <w:r w:rsidRPr="0098127B">
        <w:rPr>
          <w:rFonts w:ascii="Times New Roman" w:eastAsia="Calibri" w:hAnsi="Times New Roman" w:cs="Times New Roman"/>
          <w:color w:val="000000"/>
          <w:sz w:val="24"/>
          <w:szCs w:val="24"/>
        </w:rPr>
        <w:t>Student Learning Outcome</w:t>
      </w:r>
    </w:p>
    <w:p w14:paraId="34188C29" w14:textId="390FF3CC" w:rsidR="006F5BA4" w:rsidRPr="0098127B" w:rsidRDefault="006F5BA4" w:rsidP="0002629E">
      <w:pPr>
        <w:spacing w:line="480" w:lineRule="auto"/>
        <w:rPr>
          <w:rFonts w:asciiTheme="majorBidi" w:hAnsiTheme="majorBidi" w:cstheme="majorBidi"/>
          <w:b/>
          <w:bCs/>
          <w:sz w:val="28"/>
          <w:szCs w:val="28"/>
        </w:rPr>
      </w:pPr>
    </w:p>
    <w:p w14:paraId="3408A457" w14:textId="4A955F2B" w:rsidR="00E92EEA" w:rsidRPr="0098127B" w:rsidRDefault="00E92EEA" w:rsidP="0002629E">
      <w:pPr>
        <w:spacing w:line="480" w:lineRule="auto"/>
        <w:rPr>
          <w:rFonts w:asciiTheme="majorBidi" w:hAnsiTheme="majorBidi" w:cstheme="majorBidi"/>
          <w:b/>
          <w:bCs/>
          <w:sz w:val="28"/>
          <w:szCs w:val="28"/>
        </w:rPr>
      </w:pPr>
    </w:p>
    <w:p w14:paraId="5F70CBFC" w14:textId="054E7AD0" w:rsidR="00E92EEA" w:rsidRPr="0098127B" w:rsidRDefault="00E92EEA" w:rsidP="0002629E">
      <w:pPr>
        <w:spacing w:line="480" w:lineRule="auto"/>
        <w:rPr>
          <w:rFonts w:asciiTheme="majorBidi" w:hAnsiTheme="majorBidi" w:cstheme="majorBidi"/>
          <w:b/>
          <w:bCs/>
          <w:sz w:val="28"/>
          <w:szCs w:val="28"/>
        </w:rPr>
      </w:pPr>
    </w:p>
    <w:p w14:paraId="2ECA1F22" w14:textId="1B191D37" w:rsidR="00E92EEA" w:rsidRPr="0098127B" w:rsidRDefault="00E92EEA" w:rsidP="0002629E">
      <w:pPr>
        <w:spacing w:line="480" w:lineRule="auto"/>
        <w:rPr>
          <w:rFonts w:asciiTheme="majorBidi" w:hAnsiTheme="majorBidi" w:cstheme="majorBidi"/>
          <w:b/>
          <w:bCs/>
          <w:sz w:val="28"/>
          <w:szCs w:val="28"/>
        </w:rPr>
      </w:pPr>
    </w:p>
    <w:p w14:paraId="2D8293DC" w14:textId="056F2057" w:rsidR="00E92EEA" w:rsidRPr="0098127B" w:rsidRDefault="00E92EEA" w:rsidP="0002629E">
      <w:pPr>
        <w:spacing w:line="480" w:lineRule="auto"/>
        <w:rPr>
          <w:rFonts w:asciiTheme="majorBidi" w:hAnsiTheme="majorBidi" w:cstheme="majorBidi"/>
          <w:b/>
          <w:bCs/>
          <w:sz w:val="28"/>
          <w:szCs w:val="28"/>
        </w:rPr>
      </w:pPr>
    </w:p>
    <w:p w14:paraId="13384CAD" w14:textId="71E23C9F" w:rsidR="00E92EEA" w:rsidRPr="0098127B" w:rsidRDefault="00E92EEA" w:rsidP="0002629E">
      <w:pPr>
        <w:spacing w:line="480" w:lineRule="auto"/>
        <w:rPr>
          <w:rFonts w:asciiTheme="majorBidi" w:hAnsiTheme="majorBidi" w:cstheme="majorBidi"/>
          <w:b/>
          <w:bCs/>
          <w:sz w:val="28"/>
          <w:szCs w:val="28"/>
        </w:rPr>
      </w:pPr>
    </w:p>
    <w:p w14:paraId="42F4A48A" w14:textId="77777777" w:rsidR="003618BC" w:rsidRDefault="003618BC" w:rsidP="0002629E">
      <w:pPr>
        <w:spacing w:line="480" w:lineRule="auto"/>
        <w:rPr>
          <w:rFonts w:asciiTheme="majorBidi" w:hAnsiTheme="majorBidi" w:cstheme="majorBidi"/>
          <w:b/>
          <w:bCs/>
          <w:sz w:val="28"/>
          <w:szCs w:val="28"/>
        </w:rPr>
        <w:sectPr w:rsidR="003618BC" w:rsidSect="003618BC">
          <w:pgSz w:w="11906" w:h="16838" w:code="9"/>
          <w:pgMar w:top="1440" w:right="1440" w:bottom="1440" w:left="1440" w:header="708" w:footer="708" w:gutter="0"/>
          <w:pgNumType w:fmt="upperRoman"/>
          <w:cols w:space="708"/>
          <w:docGrid w:linePitch="360"/>
        </w:sectPr>
      </w:pPr>
    </w:p>
    <w:p w14:paraId="2BB66DF4" w14:textId="3E590C50" w:rsidR="00E92EEA" w:rsidRDefault="00E92EEA" w:rsidP="0002629E">
      <w:pPr>
        <w:spacing w:line="480" w:lineRule="auto"/>
        <w:rPr>
          <w:rFonts w:asciiTheme="majorBidi" w:hAnsiTheme="majorBidi" w:cstheme="majorBidi"/>
          <w:b/>
          <w:bCs/>
          <w:sz w:val="28"/>
          <w:szCs w:val="28"/>
        </w:rPr>
      </w:pPr>
    </w:p>
    <w:p w14:paraId="793A2C28" w14:textId="77777777" w:rsidR="003618BC" w:rsidRPr="0098127B" w:rsidRDefault="003618BC" w:rsidP="0002629E">
      <w:pPr>
        <w:spacing w:line="480" w:lineRule="auto"/>
        <w:rPr>
          <w:rFonts w:asciiTheme="majorBidi" w:hAnsiTheme="majorBidi" w:cstheme="majorBidi"/>
          <w:b/>
          <w:bCs/>
          <w:sz w:val="28"/>
          <w:szCs w:val="28"/>
        </w:rPr>
      </w:pPr>
    </w:p>
    <w:p w14:paraId="21EE609D" w14:textId="50FD2453" w:rsidR="00E92EEA" w:rsidRPr="0098127B" w:rsidRDefault="00E92EEA" w:rsidP="0002629E">
      <w:pPr>
        <w:spacing w:line="480" w:lineRule="auto"/>
        <w:rPr>
          <w:rFonts w:asciiTheme="majorBidi" w:hAnsiTheme="majorBidi" w:cstheme="majorBidi"/>
          <w:b/>
          <w:bCs/>
          <w:sz w:val="28"/>
          <w:szCs w:val="28"/>
        </w:rPr>
      </w:pPr>
    </w:p>
    <w:p w14:paraId="1A677453" w14:textId="0DE64469" w:rsidR="00E92EEA" w:rsidRPr="0098127B" w:rsidRDefault="00E92EEA" w:rsidP="0002629E">
      <w:pPr>
        <w:spacing w:line="480" w:lineRule="auto"/>
        <w:rPr>
          <w:rFonts w:asciiTheme="majorBidi" w:hAnsiTheme="majorBidi" w:cstheme="majorBidi"/>
          <w:b/>
          <w:bCs/>
          <w:sz w:val="28"/>
          <w:szCs w:val="28"/>
        </w:rPr>
      </w:pPr>
    </w:p>
    <w:p w14:paraId="1069C895" w14:textId="53F1ADC9" w:rsidR="0089077A" w:rsidRDefault="0089077A" w:rsidP="0002629E">
      <w:pPr>
        <w:spacing w:line="480" w:lineRule="auto"/>
        <w:rPr>
          <w:rFonts w:asciiTheme="majorBidi" w:hAnsiTheme="majorBidi" w:cstheme="majorBidi"/>
          <w:b/>
          <w:bCs/>
          <w:sz w:val="28"/>
          <w:szCs w:val="28"/>
        </w:rPr>
      </w:pPr>
    </w:p>
    <w:p w14:paraId="79A4E782" w14:textId="77777777" w:rsidR="006E66DC" w:rsidRDefault="006E66DC" w:rsidP="0002629E">
      <w:pPr>
        <w:spacing w:line="480" w:lineRule="auto"/>
        <w:rPr>
          <w:rFonts w:asciiTheme="majorBidi" w:hAnsiTheme="majorBidi" w:cstheme="majorBidi"/>
          <w:b/>
          <w:bCs/>
          <w:sz w:val="28"/>
          <w:szCs w:val="28"/>
        </w:rPr>
      </w:pPr>
    </w:p>
    <w:p w14:paraId="7C93E51C" w14:textId="50C95F54" w:rsidR="00D433F0" w:rsidRDefault="00D433F0" w:rsidP="0002629E">
      <w:pPr>
        <w:spacing w:line="480" w:lineRule="auto"/>
        <w:rPr>
          <w:rFonts w:asciiTheme="majorBidi" w:hAnsiTheme="majorBidi" w:cstheme="majorBidi"/>
          <w:b/>
          <w:bCs/>
          <w:sz w:val="28"/>
          <w:szCs w:val="28"/>
        </w:rPr>
      </w:pPr>
    </w:p>
    <w:p w14:paraId="585AF29B" w14:textId="77777777" w:rsidR="00D433F0" w:rsidRPr="0098127B" w:rsidRDefault="00D433F0" w:rsidP="0002629E">
      <w:pPr>
        <w:spacing w:line="480" w:lineRule="auto"/>
        <w:rPr>
          <w:rFonts w:asciiTheme="majorBidi" w:hAnsiTheme="majorBidi" w:cstheme="majorBidi"/>
          <w:b/>
          <w:bCs/>
          <w:sz w:val="28"/>
          <w:szCs w:val="28"/>
        </w:rPr>
      </w:pPr>
    </w:p>
    <w:p w14:paraId="5DA91E76" w14:textId="77777777" w:rsidR="0089077A" w:rsidRPr="0098127B" w:rsidRDefault="0089077A" w:rsidP="0002629E">
      <w:pPr>
        <w:spacing w:line="480" w:lineRule="auto"/>
        <w:rPr>
          <w:rFonts w:asciiTheme="majorBidi" w:hAnsiTheme="majorBidi" w:cstheme="majorBidi"/>
          <w:b/>
          <w:bCs/>
          <w:sz w:val="28"/>
          <w:szCs w:val="28"/>
        </w:rPr>
      </w:pPr>
    </w:p>
    <w:p w14:paraId="28429E45" w14:textId="7AB44215" w:rsidR="0089077A" w:rsidRPr="0098127B" w:rsidRDefault="0089077A" w:rsidP="00D433F0">
      <w:pPr>
        <w:spacing w:line="480" w:lineRule="auto"/>
        <w:jc w:val="center"/>
        <w:rPr>
          <w:rFonts w:asciiTheme="majorBidi" w:hAnsiTheme="majorBidi" w:cstheme="majorBidi"/>
          <w:b/>
          <w:bCs/>
          <w:sz w:val="32"/>
          <w:szCs w:val="32"/>
        </w:rPr>
      </w:pPr>
      <w:r w:rsidRPr="0098127B">
        <w:rPr>
          <w:rFonts w:asciiTheme="majorBidi" w:hAnsiTheme="majorBidi" w:cstheme="majorBidi"/>
          <w:b/>
          <w:bCs/>
          <w:sz w:val="32"/>
          <w:szCs w:val="32"/>
        </w:rPr>
        <w:t>Chapter One</w:t>
      </w:r>
      <w:r w:rsidR="003618BC">
        <w:rPr>
          <w:rFonts w:asciiTheme="majorBidi" w:hAnsiTheme="majorBidi" w:cstheme="majorBidi"/>
          <w:b/>
          <w:bCs/>
          <w:sz w:val="32"/>
          <w:szCs w:val="32"/>
        </w:rPr>
        <w:t>:</w:t>
      </w:r>
      <w:r w:rsidR="00D433F0">
        <w:rPr>
          <w:rFonts w:asciiTheme="majorBidi" w:hAnsiTheme="majorBidi" w:cstheme="majorBidi"/>
          <w:b/>
          <w:bCs/>
          <w:sz w:val="32"/>
          <w:szCs w:val="32"/>
        </w:rPr>
        <w:t xml:space="preserve"> </w:t>
      </w:r>
      <w:r w:rsidRPr="0098127B">
        <w:rPr>
          <w:rFonts w:asciiTheme="majorBidi" w:hAnsiTheme="majorBidi" w:cstheme="majorBidi"/>
          <w:b/>
          <w:bCs/>
          <w:sz w:val="32"/>
          <w:szCs w:val="32"/>
        </w:rPr>
        <w:t>Introduction</w:t>
      </w:r>
    </w:p>
    <w:p w14:paraId="1EBE982E" w14:textId="77777777" w:rsidR="0089077A" w:rsidRPr="0098127B" w:rsidRDefault="0089077A" w:rsidP="0089077A">
      <w:pPr>
        <w:spacing w:line="480" w:lineRule="auto"/>
        <w:rPr>
          <w:rFonts w:asciiTheme="majorBidi" w:hAnsiTheme="majorBidi" w:cstheme="majorBidi"/>
          <w:b/>
          <w:bCs/>
          <w:sz w:val="28"/>
          <w:szCs w:val="28"/>
        </w:rPr>
      </w:pPr>
    </w:p>
    <w:p w14:paraId="10E0F1C2" w14:textId="77777777" w:rsidR="0089077A" w:rsidRPr="0098127B" w:rsidRDefault="0089077A" w:rsidP="0089077A">
      <w:pPr>
        <w:spacing w:line="480" w:lineRule="auto"/>
        <w:rPr>
          <w:rFonts w:asciiTheme="majorBidi" w:hAnsiTheme="majorBidi" w:cstheme="majorBidi"/>
          <w:b/>
          <w:bCs/>
          <w:sz w:val="28"/>
          <w:szCs w:val="28"/>
        </w:rPr>
      </w:pPr>
    </w:p>
    <w:p w14:paraId="20A7592C" w14:textId="77777777" w:rsidR="0089077A" w:rsidRPr="0098127B" w:rsidRDefault="0089077A" w:rsidP="0089077A">
      <w:pPr>
        <w:spacing w:line="480" w:lineRule="auto"/>
        <w:rPr>
          <w:rFonts w:asciiTheme="majorBidi" w:hAnsiTheme="majorBidi" w:cstheme="majorBidi"/>
          <w:b/>
          <w:bCs/>
          <w:sz w:val="28"/>
          <w:szCs w:val="28"/>
        </w:rPr>
      </w:pPr>
    </w:p>
    <w:p w14:paraId="4F14C194" w14:textId="77777777" w:rsidR="0089077A" w:rsidRPr="0098127B" w:rsidRDefault="0089077A" w:rsidP="0089077A">
      <w:pPr>
        <w:spacing w:line="480" w:lineRule="auto"/>
        <w:rPr>
          <w:rFonts w:asciiTheme="majorBidi" w:hAnsiTheme="majorBidi" w:cstheme="majorBidi"/>
          <w:b/>
          <w:bCs/>
          <w:sz w:val="28"/>
          <w:szCs w:val="28"/>
        </w:rPr>
      </w:pPr>
    </w:p>
    <w:p w14:paraId="6A532760" w14:textId="77777777" w:rsidR="0089077A" w:rsidRPr="0098127B" w:rsidRDefault="0089077A" w:rsidP="0089077A">
      <w:pPr>
        <w:spacing w:line="480" w:lineRule="auto"/>
        <w:rPr>
          <w:rFonts w:asciiTheme="majorBidi" w:hAnsiTheme="majorBidi" w:cstheme="majorBidi"/>
          <w:b/>
          <w:bCs/>
          <w:sz w:val="28"/>
          <w:szCs w:val="28"/>
        </w:rPr>
      </w:pPr>
    </w:p>
    <w:p w14:paraId="131A7B33" w14:textId="77777777" w:rsidR="0089077A" w:rsidRPr="0098127B" w:rsidRDefault="0089077A" w:rsidP="0089077A">
      <w:pPr>
        <w:spacing w:line="480" w:lineRule="auto"/>
        <w:rPr>
          <w:rFonts w:asciiTheme="majorBidi" w:hAnsiTheme="majorBidi" w:cstheme="majorBidi"/>
          <w:b/>
          <w:bCs/>
          <w:sz w:val="28"/>
          <w:szCs w:val="28"/>
        </w:rPr>
      </w:pPr>
    </w:p>
    <w:p w14:paraId="79F50786" w14:textId="77777777" w:rsidR="0089077A" w:rsidRPr="0098127B" w:rsidRDefault="0089077A" w:rsidP="0089077A">
      <w:pPr>
        <w:spacing w:line="480" w:lineRule="auto"/>
        <w:rPr>
          <w:rFonts w:asciiTheme="majorBidi" w:hAnsiTheme="majorBidi" w:cstheme="majorBidi"/>
          <w:b/>
          <w:bCs/>
          <w:sz w:val="28"/>
          <w:szCs w:val="28"/>
        </w:rPr>
      </w:pPr>
    </w:p>
    <w:p w14:paraId="400EAEF8" w14:textId="77777777" w:rsidR="0089077A" w:rsidRPr="0098127B" w:rsidRDefault="0089077A" w:rsidP="0089077A">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1.1 Introduction</w:t>
      </w:r>
    </w:p>
    <w:p w14:paraId="0E5B37EA" w14:textId="77777777" w:rsidR="0089077A" w:rsidRPr="0098127B" w:rsidRDefault="0089077A"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Over the past few decades, English has become embedded in the educational systems of many Middle Eastern countries. English is recognized as a lingua franca, with the potential to facilitate international communication, academic collaboration, and economic advantage (Roshid &amp; Kankaanranta, 2025). In recognition of the potential of English, regional educational leaders have adopted English as a core subject area, articulated curriculum and standards from early grades and across educational systems to higher education (Salomone, 2022).</w:t>
      </w:r>
    </w:p>
    <w:p w14:paraId="5C7CBAFD"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This recognition of English as a pivotal language for learning is being pursued at the same time as an increased emphasis on communicative competence and making communicative competence an outcome of English language learning has motivated widespread educational reform (Kurniawan, 2024). These reforms will encourage educators to move away from grammar translation and rote memorization in favor of guided approaches to take language learning from teacher-led instruction centered on rigorous grammar and translation to learner-centered instruction, in which some aspects of learning are governed on the learner's prioritization of using their learning in meaningful ways in their social and educational contexts.</w:t>
      </w:r>
    </w:p>
    <w:p w14:paraId="381E517B" w14:textId="75020AE4"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In Iraq, English </w:t>
      </w:r>
      <w:r w:rsidR="003A4D42" w:rsidRPr="0098127B">
        <w:rPr>
          <w:rFonts w:asciiTheme="majorBidi" w:hAnsiTheme="majorBidi" w:cstheme="majorBidi"/>
          <w:sz w:val="24"/>
          <w:szCs w:val="24"/>
        </w:rPr>
        <w:t xml:space="preserve">Language Teaching </w:t>
      </w:r>
      <w:r w:rsidRPr="0098127B">
        <w:rPr>
          <w:rFonts w:asciiTheme="majorBidi" w:hAnsiTheme="majorBidi" w:cstheme="majorBidi"/>
          <w:sz w:val="24"/>
          <w:szCs w:val="24"/>
        </w:rPr>
        <w:t xml:space="preserve">(ELT) has been radically remodeled over the past twenty years. It has been dominated, for so long, by traditional methods and outdated materials, and now we see varieties and rubrics emerge that have helped to create more cohesive and structured English language instruction (Alrickaby, 2024). The nationwide rollout of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which consists of textbooks written by Britons Terry O'Neill and Peter Snow and published by Garnet Educational in 2017 (Alrickaby, 2024), is a significant milestone in this journey.</w:t>
      </w:r>
    </w:p>
    <w:p w14:paraId="7E289FCA"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 xml:space="preserve">It represents not just a chance to realistically modernize practice, but also provide students with real, authentic English and aim to oversee future developments in line with national educational objectives. Having an internationally established author would seem advantageous, but it also brings with it questions of cultural relevance to Iraqi learners (Jasim &amp; Jasim, 2024). Likewise, English language teaching in Iran is undergoing a different reform trajectory. Iranian ELT has a long-established history of grammar translation methods, but in the last decade has slowly shifted to communicative and skill-based approaches (Gholaminejad &amp; Raeisi-Vanani, 2021). This shift is most evident in the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which are nationally developed textbooks published as a set for grades 7 to 12 have developed by the Ministry of Education for the Iranian context.</w:t>
      </w:r>
    </w:p>
    <w:p w14:paraId="77870CDA"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Unlike previous instructional materials that relied largely on written documents, the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emphasizes themes that allow for combinations of listening, speaking, reading and writing skills to be added into thematic units that were both pedagogically prescribed but also acknowledged Iranian Islamic values. Also, while the textbooks were developed for the subject of English, the materials were designed to reflect the work of Iranian educators who strived to find a balance between internationally prescribed communicative contexts and their own context-practice and values. This objective of communicativeness keeps the textbooks functionally communicative, but very much based in a local Iranian context since they are a product of Iranian rather than a native speaker, context.</w:t>
      </w:r>
    </w:p>
    <w:p w14:paraId="13050CCC"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Textbooks serve a pivotal role in the implementation of language curricula, particularly in situations where resources are limited (Wotring et al., 2021). Textbooks are not just instructional tools; they are also pedagogical resources. Language teachers use textbooks as a means to structure their practices, assist their approaches to assessment, and shape learners' interpretations of language and culture.</w:t>
      </w:r>
    </w:p>
    <w:p w14:paraId="43C89C7D"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Textbooks do not only deliver subject content, but also reflect the ideological, linguistic, and educational customs and values of a society (Liu, 2020). As such, textbooks are thick artifacts for examining the operationalized processes of language education within a national context. Assessing textbook materials offers insights into the philosophies and expectations associated with the learners in the language learning experience.</w:t>
      </w:r>
    </w:p>
    <w:p w14:paraId="022851F6"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This evolution in Iran's ELT materials underscores the pivotal role textbooks play in implementing language curricula, especially in contexts where resources may be limited (Wotring et al., 2021). Textbook comparisons are particularly useful for illuminating varying educational focuses of different countries with regard to educational content, pedagogical practices, and skill development (Huang et al., 2022). Comparing countries’ educational system allows researchers to not only find and report divergences in educational focus and content but also to identify common challenges and innovations shared between those two contexts.</w:t>
      </w:r>
    </w:p>
    <w:p w14:paraId="5FDD0915"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For example, Iraq and Iran are two neighboring countries with political differences that could shape the way English is taught. Though the political context of these countries differs, they will share similarities and differences when comparing ELT resources; facilitating reporting either the commonalities between both ELT contexts or divergences in how each English learning context is framed. An analysis of existing ELT resources not only informs policymakers and educators about the nature of resources used, through systematic comparisons, it can also pave the way for benefits to existing and future curricula.</w:t>
      </w:r>
    </w:p>
    <w:p w14:paraId="3DB245BF"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Although textbooks play an essential role in language education, there is a significant absence of comprehensive, cross-comparative research on ELT materials from Iraq and Iran. Although studies have examined textbooks in individual national contexts, studies rarely have employed validated frameworks to undertake cross-national comparisons. Additionally, there </w:t>
      </w:r>
      <w:r w:rsidRPr="0098127B">
        <w:rPr>
          <w:rFonts w:asciiTheme="majorBidi" w:hAnsiTheme="majorBidi" w:cstheme="majorBidi"/>
          <w:sz w:val="24"/>
          <w:szCs w:val="24"/>
        </w:rPr>
        <w:lastRenderedPageBreak/>
        <w:t>is a shortage of empirical studies evaluating the extent to which textbooks meet their criteria for addressing language skills, pedagogical alignment, and culture. Therefore, it is important to conduct local evidence-based research, which will contribute to future textbook development and design in alignment with communicative goals and education.</w:t>
      </w:r>
    </w:p>
    <w:p w14:paraId="7B2A7611" w14:textId="77777777" w:rsidR="0089077A" w:rsidRPr="0098127B" w:rsidRDefault="0089077A" w:rsidP="0089077A">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1.2 Statement of the Problem</w:t>
      </w:r>
    </w:p>
    <w:p w14:paraId="27006788" w14:textId="77777777" w:rsidR="0089077A" w:rsidRPr="0098127B" w:rsidRDefault="0089077A"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Across the Middle East, English language education has established itself as a strategic priority, serving as a school subject and being a means for participating in global communication, pursuing academic study, and enhancing professional and economic capabilities (Roshid &amp; Kankaanranta, 2025). In this situation, Iraq and Iran are both engaged in reforming their ELT curricula, to now work towards providing students with communicative competence, rather than simply being able to display grammatical knowledge. Both reforms represent a recognition that English has developed to the status of an applied, functional skill set rather than an abstract theoretical domain of study.</w:t>
      </w:r>
    </w:p>
    <w:p w14:paraId="5590A1E6"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As part of the operationalization of these reforms, both countries have also produced new series of textbooks that align with their aims for education. Both series of textbooks that modernize English language education are different in many senses, including authorship, design of instruction, and cultural views. Despite the substantial curricular changes and the significant role that textbooks play in ELT practice of support, there is still a considerable lack of thorough comparative studies that have compared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simultaneously.</w:t>
      </w:r>
    </w:p>
    <w:p w14:paraId="289FD810"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Most available literature has reviewed the textbooks separately or used disjointed criteria; thus, while the literature provides limited comparisons about the strengths and weaknesses of each series, the fragmented nature of the reviews fails to provide any </w:t>
      </w:r>
      <w:r w:rsidRPr="0098127B">
        <w:rPr>
          <w:rFonts w:asciiTheme="majorBidi" w:hAnsiTheme="majorBidi" w:cstheme="majorBidi"/>
          <w:sz w:val="24"/>
          <w:szCs w:val="24"/>
        </w:rPr>
        <w:lastRenderedPageBreak/>
        <w:t xml:space="preserve">information about how the textbooks compare in terms of pedagogical coherence, cultural representation and the incorporation of communicative language skills. </w:t>
      </w:r>
    </w:p>
    <w:p w14:paraId="173099AF" w14:textId="77777777" w:rsidR="0089077A" w:rsidRPr="0098127B" w:rsidRDefault="0089077A" w:rsidP="0089077A">
      <w:pPr>
        <w:spacing w:line="480" w:lineRule="auto"/>
        <w:rPr>
          <w:rFonts w:asciiTheme="majorBidi" w:hAnsiTheme="majorBidi" w:cstheme="majorBidi"/>
          <w:sz w:val="24"/>
          <w:szCs w:val="24"/>
        </w:rPr>
      </w:pPr>
      <w:r w:rsidRPr="0098127B">
        <w:rPr>
          <w:rFonts w:asciiTheme="majorBidi" w:hAnsiTheme="majorBidi" w:cstheme="majorBidi"/>
          <w:sz w:val="24"/>
          <w:szCs w:val="24"/>
        </w:rPr>
        <w:tab/>
        <w:t>In the absence of a cohesive and standardized structure for evaluation, meaningful and evidence-based comparisons between the two series is difficult. Thus, in both countries, educators and policymakers do not have access to reliable data regarding either textbook series, which could have been useful in making future revisions or developing further or enhanced English language textbooks. What is needed is a structured comparative evaluation that provides not only some gap analysis, but also a useful understanding of how both series align with their stated educational objectives and socio-cultural context.</w:t>
      </w:r>
    </w:p>
    <w:p w14:paraId="3E848712" w14:textId="77777777" w:rsidR="0089077A" w:rsidRPr="0098127B" w:rsidRDefault="0089077A" w:rsidP="0089077A">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 xml:space="preserve">1.3 Significance of the Study </w:t>
      </w:r>
    </w:p>
    <w:p w14:paraId="7D3E95BA" w14:textId="77777777" w:rsidR="0089077A" w:rsidRPr="0098127B" w:rsidRDefault="0089077A" w:rsidP="008930DE">
      <w:pPr>
        <w:spacing w:line="480" w:lineRule="auto"/>
        <w:rPr>
          <w:rFonts w:asciiTheme="majorBidi" w:hAnsiTheme="majorBidi" w:cstheme="majorBidi"/>
          <w:sz w:val="24"/>
          <w:szCs w:val="24"/>
          <w:lang w:val="en-US"/>
        </w:rPr>
      </w:pPr>
      <w:r w:rsidRPr="0098127B">
        <w:rPr>
          <w:rFonts w:asciiTheme="majorBidi" w:hAnsiTheme="majorBidi" w:cstheme="majorBidi"/>
          <w:sz w:val="24"/>
          <w:szCs w:val="24"/>
          <w:lang w:val="en-US"/>
        </w:rPr>
        <w:t xml:space="preserve">The current research is very useful for those who make decisions about education, establish curricula, and teach English as a second language in Iraq and Iran. The research gives real-world examples of the quality, relevance, and teaching style of the most popular English as a Second Language (ESL) materials in both Iraq and the United States by comparing the </w:t>
      </w:r>
      <w:r w:rsidRPr="0098127B">
        <w:rPr>
          <w:rFonts w:asciiTheme="majorBidi" w:hAnsiTheme="majorBidi" w:cstheme="majorBidi"/>
          <w:i/>
          <w:iCs/>
          <w:sz w:val="24"/>
          <w:szCs w:val="24"/>
          <w:lang w:val="en-US"/>
        </w:rPr>
        <w:t>English for Iraq</w:t>
      </w:r>
      <w:r w:rsidRPr="0098127B">
        <w:rPr>
          <w:rFonts w:asciiTheme="majorBidi" w:hAnsiTheme="majorBidi" w:cstheme="majorBidi"/>
          <w:sz w:val="24"/>
          <w:szCs w:val="24"/>
          <w:lang w:val="en-US"/>
        </w:rPr>
        <w:t xml:space="preserve"> and </w:t>
      </w:r>
      <w:r w:rsidRPr="0098127B">
        <w:rPr>
          <w:rFonts w:asciiTheme="majorBidi" w:hAnsiTheme="majorBidi" w:cstheme="majorBidi"/>
          <w:i/>
          <w:iCs/>
          <w:sz w:val="24"/>
          <w:szCs w:val="24"/>
          <w:lang w:val="en-US"/>
        </w:rPr>
        <w:t>Prospect</w:t>
      </w:r>
      <w:r w:rsidRPr="0098127B">
        <w:rPr>
          <w:rFonts w:asciiTheme="majorBidi" w:hAnsiTheme="majorBidi" w:cstheme="majorBidi"/>
          <w:sz w:val="24"/>
          <w:szCs w:val="24"/>
          <w:lang w:val="en-US"/>
        </w:rPr>
        <w:t xml:space="preserve"> textbook series. This study is very important for figuring out how well textbooks meet educational goals, encourage communication skills, and reflect national educational priorities in many Middle Eastern classrooms, where resources, teacher training, and access to extra materials are limited.</w:t>
      </w:r>
    </w:p>
    <w:p w14:paraId="6502F8C1"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This study is particularly important since it might have an impact on changes to the curriculum in the future.  As Iraq and Iran modernize their schools and adapt to global trends in ELT, it is important to use evidence-based assessments to help make changes to textbooks and create new teaching materials.  The research lays the groundwork for constructive criticism by pointing out the merits and weaknesses of the present textbooks in terms of their physical design, how clear their goals are, how well they integrate skills, and how culturally </w:t>
      </w:r>
      <w:r w:rsidRPr="0098127B">
        <w:rPr>
          <w:rFonts w:asciiTheme="majorBidi" w:hAnsiTheme="majorBidi" w:cstheme="majorBidi"/>
          <w:sz w:val="24"/>
          <w:szCs w:val="24"/>
        </w:rPr>
        <w:lastRenderedPageBreak/>
        <w:t>relevant they are.  These kinds of results may help national textbook committees, ministries of education, and foreign publishers that want to produce English language curricula for secondary school that are attentive to the needs of different contexts and are based on strong teaching principles.</w:t>
      </w:r>
    </w:p>
    <w:p w14:paraId="3E0DEB71" w14:textId="77777777" w:rsidR="0089077A" w:rsidRPr="0098127B" w:rsidRDefault="0089077A" w:rsidP="0089077A">
      <w:pPr>
        <w:spacing w:line="480" w:lineRule="auto"/>
        <w:rPr>
          <w:rFonts w:asciiTheme="majorBidi" w:hAnsiTheme="majorBidi" w:cstheme="majorBidi"/>
          <w:sz w:val="24"/>
          <w:szCs w:val="24"/>
          <w:lang w:val="en-US"/>
        </w:rPr>
      </w:pPr>
      <w:r w:rsidRPr="0098127B">
        <w:rPr>
          <w:rFonts w:asciiTheme="majorBidi" w:hAnsiTheme="majorBidi" w:cstheme="majorBidi"/>
          <w:sz w:val="24"/>
          <w:szCs w:val="24"/>
        </w:rPr>
        <w:tab/>
      </w:r>
      <w:r w:rsidRPr="0098127B">
        <w:rPr>
          <w:rFonts w:asciiTheme="majorBidi" w:hAnsiTheme="majorBidi" w:cstheme="majorBidi"/>
          <w:sz w:val="24"/>
          <w:szCs w:val="24"/>
          <w:lang w:val="en-US"/>
        </w:rPr>
        <w:t>Also, this research adds to the fields of comparative education and language curriculum studies by looking at a topic that hasn't been studied much: cross-national textbook assessment in the Middle East using a methodology that has been shown to function. Many studies have looked at textbooks on their own, but not many have compared English language materials from nearby nations that have similar geographical, historical, and educational backgrounds. So, the results of this study not only cover a major vacuum in the literature, but they also provide researchers a way to undertake comparable studies in other multilingual and multicultural contexts. By doing this, the research helps us understand how national identity, educational policy, and language teaching all work together to shape the content and delivery of English language training.</w:t>
      </w:r>
    </w:p>
    <w:p w14:paraId="370E1409" w14:textId="77777777" w:rsidR="0089077A" w:rsidRPr="0098127B" w:rsidRDefault="0089077A" w:rsidP="00982276">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1.4 Objectives</w:t>
      </w:r>
    </w:p>
    <w:p w14:paraId="322369C6" w14:textId="77777777" w:rsidR="0089077A" w:rsidRPr="0098127B" w:rsidRDefault="0089077A" w:rsidP="00982276">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current study seeks to examine and contrast the English language curriculum content of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textbook series utilized in secondary schools in Iraq and Iran, respectively.  Utilizing AbdelWahab’s (2013) extensive checklist, the study assesses these materials in critical areas such as physical design, learning objectives, instructional content, and the integration of language skills.  The study employs qualitative content analysis to discern convergences and divergences in pedagogical priorities and cultural perspectives, thereby enhancing the understanding of regional ELT practices and providing insights for curriculum development and reform.</w:t>
      </w:r>
    </w:p>
    <w:p w14:paraId="139D95DE" w14:textId="77777777" w:rsidR="0089077A" w:rsidRPr="0098127B" w:rsidRDefault="0089077A" w:rsidP="00982276">
      <w:pPr>
        <w:spacing w:line="480" w:lineRule="auto"/>
        <w:ind w:firstLine="720"/>
        <w:rPr>
          <w:rFonts w:asciiTheme="majorBidi" w:hAnsiTheme="majorBidi" w:cstheme="majorBidi"/>
          <w:sz w:val="24"/>
          <w:szCs w:val="24"/>
        </w:rPr>
      </w:pPr>
    </w:p>
    <w:p w14:paraId="1F8B1D53" w14:textId="77777777" w:rsidR="0089077A" w:rsidRPr="0098127B" w:rsidRDefault="0089077A" w:rsidP="00982276">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1.5 Research Questions</w:t>
      </w:r>
    </w:p>
    <w:p w14:paraId="36F0AB0E" w14:textId="77777777" w:rsidR="0089077A" w:rsidRPr="0098127B" w:rsidRDefault="0089077A" w:rsidP="00982276">
      <w:pPr>
        <w:pStyle w:val="ListParagraph"/>
        <w:numPr>
          <w:ilvl w:val="0"/>
          <w:numId w:val="1"/>
        </w:numPr>
        <w:spacing w:line="480" w:lineRule="auto"/>
        <w:ind w:left="360"/>
        <w:rPr>
          <w:rFonts w:asciiTheme="majorBidi" w:hAnsiTheme="majorBidi" w:cstheme="majorBidi"/>
          <w:sz w:val="24"/>
          <w:szCs w:val="24"/>
        </w:rPr>
      </w:pPr>
      <w:bookmarkStart w:id="4" w:name="_Hlk218018587"/>
      <w:r w:rsidRPr="0098127B">
        <w:rPr>
          <w:rFonts w:asciiTheme="majorBidi" w:hAnsiTheme="majorBidi" w:cstheme="majorBidi"/>
          <w:sz w:val="24"/>
          <w:szCs w:val="24"/>
        </w:rPr>
        <w:t xml:space="preserve">To what extent do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textbook series reflect similarities and differences in terms of physical presentation?</w:t>
      </w:r>
    </w:p>
    <w:p w14:paraId="49DF10E0" w14:textId="77777777" w:rsidR="0089077A" w:rsidRPr="0098127B" w:rsidRDefault="0089077A" w:rsidP="00982276">
      <w:pPr>
        <w:pStyle w:val="ListParagraph"/>
        <w:numPr>
          <w:ilvl w:val="0"/>
          <w:numId w:val="1"/>
        </w:numPr>
        <w:spacing w:line="480" w:lineRule="auto"/>
        <w:ind w:left="360"/>
        <w:rPr>
          <w:rFonts w:asciiTheme="majorBidi" w:hAnsiTheme="majorBidi" w:cstheme="majorBidi"/>
          <w:sz w:val="24"/>
          <w:szCs w:val="24"/>
        </w:rPr>
      </w:pPr>
      <w:r w:rsidRPr="0098127B">
        <w:rPr>
          <w:rFonts w:asciiTheme="majorBidi" w:hAnsiTheme="majorBidi" w:cstheme="majorBidi"/>
          <w:sz w:val="24"/>
          <w:szCs w:val="24"/>
        </w:rPr>
        <w:t xml:space="preserve">To what extent do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textbook series reflect similarities and differences in terms of language skills and components?</w:t>
      </w:r>
    </w:p>
    <w:p w14:paraId="0D974495" w14:textId="77777777" w:rsidR="0089077A" w:rsidRPr="0098127B" w:rsidRDefault="0089077A" w:rsidP="00982276">
      <w:pPr>
        <w:pStyle w:val="ListParagraph"/>
        <w:numPr>
          <w:ilvl w:val="0"/>
          <w:numId w:val="1"/>
        </w:numPr>
        <w:spacing w:line="480" w:lineRule="auto"/>
        <w:ind w:left="360"/>
        <w:rPr>
          <w:rFonts w:asciiTheme="majorBidi" w:hAnsiTheme="majorBidi" w:cstheme="majorBidi"/>
          <w:sz w:val="24"/>
          <w:szCs w:val="24"/>
        </w:rPr>
      </w:pPr>
      <w:r w:rsidRPr="0098127B">
        <w:rPr>
          <w:rFonts w:asciiTheme="majorBidi" w:hAnsiTheme="majorBidi" w:cstheme="majorBidi"/>
          <w:sz w:val="24"/>
          <w:szCs w:val="24"/>
        </w:rPr>
        <w:t xml:space="preserve">To what extent do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textbook series reflect similarities and differences in terms of syllabus?</w:t>
      </w:r>
    </w:p>
    <w:p w14:paraId="7F2ECE7C" w14:textId="4A6491EE" w:rsidR="0089077A" w:rsidRPr="0098127B" w:rsidRDefault="0089077A" w:rsidP="00982276">
      <w:pPr>
        <w:pStyle w:val="ListParagraph"/>
        <w:numPr>
          <w:ilvl w:val="0"/>
          <w:numId w:val="1"/>
        </w:numPr>
        <w:spacing w:line="480" w:lineRule="auto"/>
        <w:ind w:left="360"/>
        <w:rPr>
          <w:rFonts w:asciiTheme="majorBidi" w:hAnsiTheme="majorBidi" w:cstheme="majorBidi"/>
          <w:sz w:val="24"/>
          <w:szCs w:val="24"/>
        </w:rPr>
      </w:pPr>
      <w:r w:rsidRPr="0098127B">
        <w:rPr>
          <w:rFonts w:asciiTheme="majorBidi" w:hAnsiTheme="majorBidi" w:cstheme="majorBidi"/>
          <w:sz w:val="24"/>
          <w:szCs w:val="24"/>
        </w:rPr>
        <w:t xml:space="preserve">To what extent do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textbook series reflect similarities and differences in terms of cultural representation?</w:t>
      </w:r>
    </w:p>
    <w:bookmarkEnd w:id="4"/>
    <w:p w14:paraId="538FDAD8" w14:textId="2E40B901" w:rsidR="004E7437" w:rsidRDefault="004E7437" w:rsidP="00982276">
      <w:pPr>
        <w:spacing w:line="480" w:lineRule="auto"/>
        <w:rPr>
          <w:rFonts w:asciiTheme="majorBidi" w:hAnsiTheme="majorBidi" w:cstheme="majorBidi"/>
          <w:b/>
          <w:bCs/>
          <w:sz w:val="24"/>
          <w:szCs w:val="24"/>
        </w:rPr>
      </w:pPr>
      <w:r w:rsidRPr="004E7437">
        <w:rPr>
          <w:rFonts w:asciiTheme="majorBidi" w:hAnsiTheme="majorBidi" w:cstheme="majorBidi"/>
          <w:b/>
          <w:bCs/>
          <w:sz w:val="24"/>
          <w:szCs w:val="24"/>
        </w:rPr>
        <w:t>1.</w:t>
      </w:r>
      <w:r>
        <w:rPr>
          <w:rFonts w:asciiTheme="majorBidi" w:hAnsiTheme="majorBidi" w:cstheme="majorBidi"/>
          <w:b/>
          <w:bCs/>
          <w:sz w:val="24"/>
          <w:szCs w:val="24"/>
        </w:rPr>
        <w:t>6</w:t>
      </w:r>
      <w:r w:rsidRPr="004E7437">
        <w:rPr>
          <w:rFonts w:asciiTheme="majorBidi" w:hAnsiTheme="majorBidi" w:cstheme="majorBidi"/>
          <w:b/>
          <w:bCs/>
          <w:sz w:val="24"/>
          <w:szCs w:val="24"/>
        </w:rPr>
        <w:t xml:space="preserve"> Research </w:t>
      </w:r>
      <w:r>
        <w:rPr>
          <w:rFonts w:asciiTheme="majorBidi" w:hAnsiTheme="majorBidi" w:cstheme="majorBidi"/>
          <w:b/>
          <w:bCs/>
          <w:sz w:val="24"/>
          <w:szCs w:val="24"/>
        </w:rPr>
        <w:t>Hypotheses</w:t>
      </w:r>
    </w:p>
    <w:p w14:paraId="3BDA3035" w14:textId="3E402DAF" w:rsidR="00204F9C" w:rsidRPr="00204F9C" w:rsidRDefault="00204F9C" w:rsidP="00982276">
      <w:pPr>
        <w:spacing w:line="480" w:lineRule="auto"/>
        <w:rPr>
          <w:rFonts w:asciiTheme="majorBidi" w:hAnsiTheme="majorBidi" w:cstheme="majorBidi"/>
          <w:sz w:val="24"/>
          <w:szCs w:val="24"/>
        </w:rPr>
      </w:pPr>
      <w:r w:rsidRPr="00204F9C">
        <w:rPr>
          <w:rFonts w:asciiTheme="majorBidi" w:hAnsiTheme="majorBidi" w:cstheme="majorBidi"/>
          <w:sz w:val="24"/>
          <w:szCs w:val="24"/>
        </w:rPr>
        <w:t>Based on the objectives of the study, the following hypotheses were formulated:</w:t>
      </w:r>
    </w:p>
    <w:p w14:paraId="73B7EE5C" w14:textId="0E2389C3" w:rsidR="00204F9C" w:rsidRPr="00204F9C" w:rsidRDefault="00204F9C" w:rsidP="00982276">
      <w:pPr>
        <w:spacing w:line="480" w:lineRule="auto"/>
        <w:ind w:left="567" w:hanging="567"/>
        <w:jc w:val="both"/>
        <w:rPr>
          <w:rFonts w:asciiTheme="majorBidi" w:hAnsiTheme="majorBidi" w:cstheme="majorBidi"/>
          <w:sz w:val="24"/>
          <w:szCs w:val="24"/>
        </w:rPr>
      </w:pPr>
      <w:r w:rsidRPr="00204F9C">
        <w:rPr>
          <w:rFonts w:asciiTheme="majorBidi" w:hAnsiTheme="majorBidi" w:cstheme="majorBidi"/>
          <w:sz w:val="24"/>
          <w:szCs w:val="24"/>
        </w:rPr>
        <w:t xml:space="preserve">H0₁: There is no significant difference between the </w:t>
      </w:r>
      <w:r w:rsidRPr="00204F9C">
        <w:rPr>
          <w:rFonts w:asciiTheme="majorBidi" w:hAnsiTheme="majorBidi" w:cstheme="majorBidi"/>
          <w:i/>
          <w:iCs/>
          <w:sz w:val="24"/>
          <w:szCs w:val="24"/>
        </w:rPr>
        <w:t>English for Iraq</w:t>
      </w:r>
      <w:r w:rsidRPr="00204F9C">
        <w:rPr>
          <w:rFonts w:asciiTheme="majorBidi" w:hAnsiTheme="majorBidi" w:cstheme="majorBidi"/>
          <w:sz w:val="24"/>
          <w:szCs w:val="24"/>
        </w:rPr>
        <w:t xml:space="preserve"> and </w:t>
      </w:r>
      <w:r w:rsidRPr="00204F9C">
        <w:rPr>
          <w:rFonts w:asciiTheme="majorBidi" w:hAnsiTheme="majorBidi" w:cstheme="majorBidi"/>
          <w:i/>
          <w:iCs/>
          <w:sz w:val="24"/>
          <w:szCs w:val="24"/>
        </w:rPr>
        <w:t>Prospect</w:t>
      </w:r>
      <w:r w:rsidRPr="00204F9C">
        <w:rPr>
          <w:rFonts w:asciiTheme="majorBidi" w:hAnsiTheme="majorBidi" w:cstheme="majorBidi"/>
          <w:sz w:val="24"/>
          <w:szCs w:val="24"/>
        </w:rPr>
        <w:t xml:space="preserve"> textbook series in terms of physical and aesthetic presentation.</w:t>
      </w:r>
    </w:p>
    <w:p w14:paraId="23EA24EA" w14:textId="1E9BD3E7" w:rsidR="00204F9C" w:rsidRPr="00204F9C" w:rsidRDefault="00204F9C" w:rsidP="00982276">
      <w:pPr>
        <w:spacing w:line="480" w:lineRule="auto"/>
        <w:ind w:left="567" w:hanging="567"/>
        <w:jc w:val="both"/>
        <w:rPr>
          <w:rFonts w:asciiTheme="majorBidi" w:hAnsiTheme="majorBidi" w:cstheme="majorBidi"/>
          <w:sz w:val="24"/>
          <w:szCs w:val="24"/>
        </w:rPr>
      </w:pPr>
      <w:r w:rsidRPr="00204F9C">
        <w:rPr>
          <w:rFonts w:asciiTheme="majorBidi" w:hAnsiTheme="majorBidi" w:cstheme="majorBidi"/>
          <w:sz w:val="24"/>
          <w:szCs w:val="24"/>
        </w:rPr>
        <w:t xml:space="preserve">H0₂: There is no significant difference between the </w:t>
      </w:r>
      <w:r w:rsidRPr="00204F9C">
        <w:rPr>
          <w:rFonts w:asciiTheme="majorBidi" w:hAnsiTheme="majorBidi" w:cstheme="majorBidi"/>
          <w:i/>
          <w:iCs/>
          <w:sz w:val="24"/>
          <w:szCs w:val="24"/>
        </w:rPr>
        <w:t>English for Iraq</w:t>
      </w:r>
      <w:r w:rsidRPr="00204F9C">
        <w:rPr>
          <w:rFonts w:asciiTheme="majorBidi" w:hAnsiTheme="majorBidi" w:cstheme="majorBidi"/>
          <w:sz w:val="24"/>
          <w:szCs w:val="24"/>
        </w:rPr>
        <w:t xml:space="preserve"> and </w:t>
      </w:r>
      <w:r w:rsidRPr="00204F9C">
        <w:rPr>
          <w:rFonts w:asciiTheme="majorBidi" w:hAnsiTheme="majorBidi" w:cstheme="majorBidi"/>
          <w:i/>
          <w:iCs/>
          <w:sz w:val="24"/>
          <w:szCs w:val="24"/>
        </w:rPr>
        <w:t>Prospect</w:t>
      </w:r>
      <w:r w:rsidRPr="00204F9C">
        <w:rPr>
          <w:rFonts w:asciiTheme="majorBidi" w:hAnsiTheme="majorBidi" w:cstheme="majorBidi"/>
          <w:sz w:val="24"/>
          <w:szCs w:val="24"/>
        </w:rPr>
        <w:t xml:space="preserve"> textbook series in terms of language skills and components.</w:t>
      </w:r>
    </w:p>
    <w:p w14:paraId="000CC6ED" w14:textId="2A7737CE" w:rsidR="00204F9C" w:rsidRPr="00204F9C" w:rsidRDefault="00204F9C" w:rsidP="00982276">
      <w:pPr>
        <w:spacing w:line="480" w:lineRule="auto"/>
        <w:ind w:left="567" w:hanging="567"/>
        <w:jc w:val="both"/>
        <w:rPr>
          <w:rFonts w:asciiTheme="majorBidi" w:hAnsiTheme="majorBidi" w:cstheme="majorBidi"/>
          <w:sz w:val="24"/>
          <w:szCs w:val="24"/>
        </w:rPr>
      </w:pPr>
      <w:r w:rsidRPr="00204F9C">
        <w:rPr>
          <w:rFonts w:asciiTheme="majorBidi" w:hAnsiTheme="majorBidi" w:cstheme="majorBidi"/>
          <w:sz w:val="24"/>
          <w:szCs w:val="24"/>
        </w:rPr>
        <w:t xml:space="preserve">H0₃: There is no significant difference between the </w:t>
      </w:r>
      <w:r w:rsidRPr="00204F9C">
        <w:rPr>
          <w:rFonts w:asciiTheme="majorBidi" w:hAnsiTheme="majorBidi" w:cstheme="majorBidi"/>
          <w:i/>
          <w:iCs/>
          <w:sz w:val="24"/>
          <w:szCs w:val="24"/>
        </w:rPr>
        <w:t>English for Iraq</w:t>
      </w:r>
      <w:r w:rsidRPr="00204F9C">
        <w:rPr>
          <w:rFonts w:asciiTheme="majorBidi" w:hAnsiTheme="majorBidi" w:cstheme="majorBidi"/>
          <w:sz w:val="24"/>
          <w:szCs w:val="24"/>
        </w:rPr>
        <w:t xml:space="preserve"> and </w:t>
      </w:r>
      <w:r w:rsidRPr="00204F9C">
        <w:rPr>
          <w:rFonts w:asciiTheme="majorBidi" w:hAnsiTheme="majorBidi" w:cstheme="majorBidi"/>
          <w:i/>
          <w:iCs/>
          <w:sz w:val="24"/>
          <w:szCs w:val="24"/>
        </w:rPr>
        <w:t>Prospect</w:t>
      </w:r>
      <w:r w:rsidRPr="00204F9C">
        <w:rPr>
          <w:rFonts w:asciiTheme="majorBidi" w:hAnsiTheme="majorBidi" w:cstheme="majorBidi"/>
          <w:sz w:val="24"/>
          <w:szCs w:val="24"/>
        </w:rPr>
        <w:t xml:space="preserve"> textbook series in terms of syllabus organization and progression.</w:t>
      </w:r>
    </w:p>
    <w:p w14:paraId="7FEB709B" w14:textId="273E5208" w:rsidR="004E7437" w:rsidRPr="00204F9C" w:rsidRDefault="00204F9C" w:rsidP="00982276">
      <w:pPr>
        <w:spacing w:line="480" w:lineRule="auto"/>
        <w:ind w:left="567" w:hanging="567"/>
        <w:jc w:val="both"/>
        <w:rPr>
          <w:rFonts w:asciiTheme="majorBidi" w:hAnsiTheme="majorBidi" w:cstheme="majorBidi"/>
          <w:sz w:val="24"/>
          <w:szCs w:val="24"/>
        </w:rPr>
      </w:pPr>
      <w:r w:rsidRPr="00204F9C">
        <w:rPr>
          <w:rFonts w:asciiTheme="majorBidi" w:hAnsiTheme="majorBidi" w:cstheme="majorBidi"/>
          <w:sz w:val="24"/>
          <w:szCs w:val="24"/>
        </w:rPr>
        <w:t xml:space="preserve">H0₄: There is no significant difference between the </w:t>
      </w:r>
      <w:r w:rsidRPr="00204F9C">
        <w:rPr>
          <w:rFonts w:asciiTheme="majorBidi" w:hAnsiTheme="majorBidi" w:cstheme="majorBidi"/>
          <w:i/>
          <w:iCs/>
          <w:sz w:val="24"/>
          <w:szCs w:val="24"/>
        </w:rPr>
        <w:t>English for Iraq</w:t>
      </w:r>
      <w:r w:rsidRPr="00204F9C">
        <w:rPr>
          <w:rFonts w:asciiTheme="majorBidi" w:hAnsiTheme="majorBidi" w:cstheme="majorBidi"/>
          <w:sz w:val="24"/>
          <w:szCs w:val="24"/>
        </w:rPr>
        <w:t xml:space="preserve"> and </w:t>
      </w:r>
      <w:r w:rsidRPr="00204F9C">
        <w:rPr>
          <w:rFonts w:asciiTheme="majorBidi" w:hAnsiTheme="majorBidi" w:cstheme="majorBidi"/>
          <w:i/>
          <w:iCs/>
          <w:sz w:val="24"/>
          <w:szCs w:val="24"/>
        </w:rPr>
        <w:t>Prospect</w:t>
      </w:r>
      <w:r w:rsidRPr="00204F9C">
        <w:rPr>
          <w:rFonts w:asciiTheme="majorBidi" w:hAnsiTheme="majorBidi" w:cstheme="majorBidi"/>
          <w:sz w:val="24"/>
          <w:szCs w:val="24"/>
        </w:rPr>
        <w:t xml:space="preserve"> textbook series in terms of cultural representation and intercultural communicative competence.</w:t>
      </w:r>
    </w:p>
    <w:p w14:paraId="41B45A64" w14:textId="3266642B" w:rsidR="0089077A" w:rsidRPr="0098127B" w:rsidRDefault="0089077A" w:rsidP="00982276">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1.</w:t>
      </w:r>
      <w:r w:rsidR="004E7437">
        <w:rPr>
          <w:rFonts w:asciiTheme="majorBidi" w:hAnsiTheme="majorBidi" w:cstheme="majorBidi"/>
          <w:b/>
          <w:bCs/>
          <w:sz w:val="24"/>
          <w:szCs w:val="24"/>
        </w:rPr>
        <w:t>7</w:t>
      </w:r>
      <w:r w:rsidRPr="0098127B">
        <w:rPr>
          <w:rFonts w:asciiTheme="majorBidi" w:hAnsiTheme="majorBidi" w:cstheme="majorBidi"/>
          <w:b/>
          <w:bCs/>
          <w:sz w:val="24"/>
          <w:szCs w:val="24"/>
        </w:rPr>
        <w:t xml:space="preserve"> Limitations and Delimitations of the Study</w:t>
      </w:r>
    </w:p>
    <w:p w14:paraId="3EFC852C" w14:textId="77777777" w:rsidR="0089077A" w:rsidRPr="0098127B" w:rsidRDefault="0089077A"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One limitation of this study is its sole dependence on textbook content, ignoring the examination of how these materials are applied in real classroom environments. Teaching </w:t>
      </w:r>
      <w:r w:rsidRPr="0098127B">
        <w:rPr>
          <w:rFonts w:asciiTheme="majorBidi" w:hAnsiTheme="majorBidi" w:cstheme="majorBidi"/>
          <w:sz w:val="24"/>
          <w:szCs w:val="24"/>
        </w:rPr>
        <w:lastRenderedPageBreak/>
        <w:t>methods, how teachers interpret things, and how the classroom works can all have a big effect on how textbooks are used. Content analysis alone fails to demonstrate this.</w:t>
      </w:r>
    </w:p>
    <w:p w14:paraId="788DB076" w14:textId="77777777" w:rsidR="0089077A" w:rsidRPr="0098127B" w:rsidRDefault="0089077A" w:rsidP="0089077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Another limitation is that it lacks audio-visual and extra teaching materials like teacher's guides, CDs, and online resources. These materials may provide supplementary support or content that either complements or contrasts with the primary textbooks, and their omission may restrict the thoroughness of the analysis.</w:t>
      </w:r>
    </w:p>
    <w:p w14:paraId="6EB7AA02" w14:textId="77777777" w:rsidR="0089077A" w:rsidRDefault="0089077A" w:rsidP="0089077A">
      <w:pPr>
        <w:spacing w:line="480" w:lineRule="auto"/>
        <w:ind w:firstLine="720"/>
        <w:jc w:val="both"/>
        <w:rPr>
          <w:rFonts w:asciiTheme="majorBidi" w:hAnsiTheme="majorBidi" w:cstheme="majorBidi"/>
          <w:sz w:val="24"/>
          <w:szCs w:val="24"/>
        </w:rPr>
      </w:pPr>
      <w:r w:rsidRPr="0098127B">
        <w:rPr>
          <w:rFonts w:asciiTheme="majorBidi" w:hAnsiTheme="majorBidi" w:cstheme="majorBidi"/>
          <w:sz w:val="24"/>
          <w:szCs w:val="24"/>
        </w:rPr>
        <w:t>Additionally, the study is influenced by the intrinsic subjectivity of qualitative analysis, despite the application of inter-rater reliability measures. The checklist offers a systematic evaluation framework; however, the interpretation of themes and content may differ among researchers, potentially impacting the final conclusions.</w:t>
      </w:r>
    </w:p>
    <w:p w14:paraId="1701F468" w14:textId="4E42ED6C" w:rsidR="0089077A" w:rsidRPr="0098127B" w:rsidRDefault="00F760D1" w:rsidP="00F760D1">
      <w:pPr>
        <w:spacing w:line="480" w:lineRule="auto"/>
        <w:ind w:firstLine="720"/>
        <w:jc w:val="both"/>
        <w:rPr>
          <w:rFonts w:asciiTheme="majorBidi" w:hAnsiTheme="majorBidi" w:cstheme="majorBidi"/>
          <w:sz w:val="24"/>
          <w:szCs w:val="24"/>
        </w:rPr>
      </w:pPr>
      <w:r w:rsidRPr="00F760D1">
        <w:rPr>
          <w:rFonts w:asciiTheme="majorBidi" w:hAnsiTheme="majorBidi" w:cstheme="majorBidi"/>
          <w:sz w:val="24"/>
          <w:szCs w:val="24"/>
        </w:rPr>
        <w:t xml:space="preserve">This study is delimited to the analysis of one grade level from each textbook series, specifically </w:t>
      </w:r>
      <w:r w:rsidRPr="00F760D1">
        <w:rPr>
          <w:rFonts w:asciiTheme="majorBidi" w:hAnsiTheme="majorBidi" w:cstheme="majorBidi"/>
          <w:i/>
          <w:iCs/>
          <w:sz w:val="24"/>
          <w:szCs w:val="24"/>
        </w:rPr>
        <w:t>English for Iraq</w:t>
      </w:r>
      <w:r w:rsidRPr="00F760D1">
        <w:rPr>
          <w:rFonts w:asciiTheme="majorBidi" w:hAnsiTheme="majorBidi" w:cstheme="majorBidi"/>
          <w:sz w:val="24"/>
          <w:szCs w:val="24"/>
        </w:rPr>
        <w:t xml:space="preserve"> and </w:t>
      </w:r>
      <w:r w:rsidRPr="00F760D1">
        <w:rPr>
          <w:rFonts w:asciiTheme="majorBidi" w:hAnsiTheme="majorBidi" w:cstheme="majorBidi"/>
          <w:i/>
          <w:iCs/>
          <w:sz w:val="24"/>
          <w:szCs w:val="24"/>
        </w:rPr>
        <w:t>Prospect</w:t>
      </w:r>
      <w:r w:rsidRPr="00F760D1">
        <w:rPr>
          <w:rFonts w:asciiTheme="majorBidi" w:hAnsiTheme="majorBidi" w:cstheme="majorBidi"/>
          <w:sz w:val="24"/>
          <w:szCs w:val="24"/>
        </w:rPr>
        <w:t xml:space="preserve">. The selection was made to ensure comparability between the two educational contexts at the same stage of secondary education and to allow for in-depth, systematic analysis using AbdelWahab’s checklist. As a result, the findings are intentionally restricted to this grade level and do not aim to represent the entire </w:t>
      </w:r>
      <w:r w:rsidRPr="00F760D1">
        <w:rPr>
          <w:rFonts w:asciiTheme="majorBidi" w:hAnsiTheme="majorBidi" w:cstheme="majorBidi"/>
          <w:i/>
          <w:iCs/>
          <w:sz w:val="24"/>
          <w:szCs w:val="24"/>
        </w:rPr>
        <w:t>English for Iraq</w:t>
      </w:r>
      <w:r w:rsidRPr="00F760D1">
        <w:rPr>
          <w:rFonts w:asciiTheme="majorBidi" w:hAnsiTheme="majorBidi" w:cstheme="majorBidi"/>
          <w:sz w:val="24"/>
          <w:szCs w:val="24"/>
        </w:rPr>
        <w:t xml:space="preserve"> or </w:t>
      </w:r>
      <w:r w:rsidRPr="00F760D1">
        <w:rPr>
          <w:rFonts w:asciiTheme="majorBidi" w:hAnsiTheme="majorBidi" w:cstheme="majorBidi"/>
          <w:i/>
          <w:iCs/>
          <w:sz w:val="24"/>
          <w:szCs w:val="24"/>
        </w:rPr>
        <w:t>Prospect</w:t>
      </w:r>
      <w:r w:rsidRPr="00F760D1">
        <w:rPr>
          <w:rFonts w:asciiTheme="majorBidi" w:hAnsiTheme="majorBidi" w:cstheme="majorBidi"/>
          <w:sz w:val="24"/>
          <w:szCs w:val="24"/>
        </w:rPr>
        <w:t xml:space="preserve"> textbook series across all secondary grades.</w:t>
      </w:r>
    </w:p>
    <w:p w14:paraId="4109FFFD" w14:textId="38C430EA" w:rsidR="0089077A" w:rsidRPr="0098127B" w:rsidRDefault="0089077A" w:rsidP="0089077A">
      <w:pPr>
        <w:spacing w:line="480" w:lineRule="auto"/>
        <w:rPr>
          <w:rFonts w:asciiTheme="majorBidi" w:hAnsiTheme="majorBidi" w:cstheme="majorBidi"/>
          <w:b/>
          <w:bCs/>
          <w:sz w:val="24"/>
          <w:szCs w:val="24"/>
        </w:rPr>
      </w:pPr>
      <w:r w:rsidRPr="0098127B">
        <w:rPr>
          <w:rFonts w:asciiTheme="majorBidi" w:hAnsiTheme="majorBidi" w:cstheme="majorBidi"/>
          <w:b/>
          <w:bCs/>
          <w:sz w:val="24"/>
          <w:szCs w:val="24"/>
          <w:lang w:val="en-US"/>
        </w:rPr>
        <w:t>1.</w:t>
      </w:r>
      <w:r w:rsidR="004E7437">
        <w:rPr>
          <w:rFonts w:asciiTheme="majorBidi" w:hAnsiTheme="majorBidi" w:cstheme="majorBidi"/>
          <w:b/>
          <w:bCs/>
          <w:sz w:val="24"/>
          <w:szCs w:val="24"/>
          <w:lang w:val="en-US"/>
        </w:rPr>
        <w:t>8</w:t>
      </w:r>
      <w:r w:rsidRPr="0098127B">
        <w:rPr>
          <w:rFonts w:asciiTheme="majorBidi" w:hAnsiTheme="majorBidi" w:cstheme="majorBidi"/>
          <w:b/>
          <w:bCs/>
          <w:sz w:val="24"/>
          <w:szCs w:val="24"/>
          <w:lang w:val="en-US"/>
        </w:rPr>
        <w:t xml:space="preserve"> </w:t>
      </w:r>
      <w:r w:rsidRPr="0098127B">
        <w:rPr>
          <w:rFonts w:asciiTheme="majorBidi" w:hAnsiTheme="majorBidi" w:cstheme="majorBidi"/>
          <w:b/>
          <w:bCs/>
          <w:sz w:val="24"/>
          <w:szCs w:val="24"/>
        </w:rPr>
        <w:t>Definition of the Key Terms</w:t>
      </w:r>
    </w:p>
    <w:p w14:paraId="37AE6E51" w14:textId="74C85396" w:rsidR="0089077A" w:rsidRPr="0098127B" w:rsidRDefault="0089077A" w:rsidP="0089077A">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1.</w:t>
      </w:r>
      <w:r w:rsidR="004E7437">
        <w:rPr>
          <w:rFonts w:asciiTheme="majorBidi" w:hAnsiTheme="majorBidi" w:cstheme="majorBidi"/>
          <w:b/>
          <w:bCs/>
          <w:sz w:val="24"/>
          <w:szCs w:val="24"/>
        </w:rPr>
        <w:t>8</w:t>
      </w:r>
      <w:r w:rsidRPr="0098127B">
        <w:rPr>
          <w:rFonts w:asciiTheme="majorBidi" w:hAnsiTheme="majorBidi" w:cstheme="majorBidi"/>
          <w:b/>
          <w:bCs/>
          <w:sz w:val="24"/>
          <w:szCs w:val="24"/>
        </w:rPr>
        <w:t>.1 Comparative Study</w:t>
      </w:r>
    </w:p>
    <w:p w14:paraId="39CAF85C" w14:textId="77777777" w:rsidR="0089077A" w:rsidRPr="0098127B" w:rsidRDefault="0089077A"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Comparative study refers to an organized process of comparing two or more things with the aim of revealing more about the makeup, function, and impact of each item (Thomann et al., 2022). The comparative study explored in this research investigated English language textbooks in Iraqi secondary education and Iranian education to compare and analyze how textbooks examined shared educational goals, curriculum priorities, and cultural perspectives from their own social contexts.</w:t>
      </w:r>
    </w:p>
    <w:p w14:paraId="3AA6C095" w14:textId="110D353A" w:rsidR="0089077A" w:rsidRPr="0098127B" w:rsidRDefault="0089077A" w:rsidP="0089077A">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1.</w:t>
      </w:r>
      <w:r w:rsidR="004E7437">
        <w:rPr>
          <w:rFonts w:asciiTheme="majorBidi" w:hAnsiTheme="majorBidi" w:cstheme="majorBidi"/>
          <w:b/>
          <w:bCs/>
          <w:sz w:val="24"/>
          <w:szCs w:val="24"/>
        </w:rPr>
        <w:t>8</w:t>
      </w:r>
      <w:r w:rsidRPr="0098127B">
        <w:rPr>
          <w:rFonts w:asciiTheme="majorBidi" w:hAnsiTheme="majorBidi" w:cstheme="majorBidi"/>
          <w:b/>
          <w:bCs/>
          <w:sz w:val="24"/>
          <w:szCs w:val="24"/>
        </w:rPr>
        <w:t>.2 Curriculum</w:t>
      </w:r>
    </w:p>
    <w:p w14:paraId="2A36E1D5" w14:textId="77777777" w:rsidR="0089077A" w:rsidRPr="0098127B" w:rsidRDefault="0089077A"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“Curriculum is the intentional configuration of educational institutions in terms of learning, experience, content and objectives” (Bhuttah et al., 2019, p.16). For this article, curriculum includes the English language instructional content found in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textbook series, which represent each of the national goals for English language education at the secondary level.</w:t>
      </w:r>
    </w:p>
    <w:p w14:paraId="168269B8" w14:textId="5E646784" w:rsidR="0089077A" w:rsidRPr="0098127B" w:rsidRDefault="0089077A" w:rsidP="0089077A">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1.</w:t>
      </w:r>
      <w:r w:rsidR="004E7437">
        <w:rPr>
          <w:rFonts w:asciiTheme="majorBidi" w:hAnsiTheme="majorBidi" w:cstheme="majorBidi"/>
          <w:b/>
          <w:bCs/>
          <w:sz w:val="24"/>
          <w:szCs w:val="24"/>
        </w:rPr>
        <w:t>8</w:t>
      </w:r>
      <w:r w:rsidRPr="0098127B">
        <w:rPr>
          <w:rFonts w:asciiTheme="majorBidi" w:hAnsiTheme="majorBidi" w:cstheme="majorBidi"/>
          <w:b/>
          <w:bCs/>
          <w:sz w:val="24"/>
          <w:szCs w:val="24"/>
        </w:rPr>
        <w:t>.3 Textbooks</w:t>
      </w:r>
    </w:p>
    <w:p w14:paraId="2ED20CC2" w14:textId="6AA07FC7" w:rsidR="0089077A" w:rsidRPr="0098127B" w:rsidRDefault="0089077A" w:rsidP="004E7437">
      <w:pPr>
        <w:spacing w:line="480" w:lineRule="auto"/>
        <w:rPr>
          <w:rFonts w:asciiTheme="majorBidi" w:hAnsiTheme="majorBidi" w:cstheme="majorBidi"/>
          <w:sz w:val="24"/>
          <w:szCs w:val="24"/>
        </w:rPr>
      </w:pPr>
      <w:r w:rsidRPr="0098127B">
        <w:rPr>
          <w:rFonts w:asciiTheme="majorBidi" w:hAnsiTheme="majorBidi" w:cstheme="majorBidi"/>
          <w:sz w:val="24"/>
          <w:szCs w:val="24"/>
        </w:rPr>
        <w:t>Textbooks are teaching and learning tools that organize content into an ordered pattern to inform the teaching and learning process (Ornstein, 2013). For this dissertation, the textbooks are the primary platform for teaching English in Iraqi and Iranian secondary school settings and have been purposefully studied as exams to explore their success at the communicative, cultural and pedagogic levels.</w:t>
      </w:r>
    </w:p>
    <w:p w14:paraId="3F674414" w14:textId="05518708" w:rsidR="00E92EEA" w:rsidRPr="0098127B" w:rsidRDefault="00E92EEA" w:rsidP="0002629E">
      <w:pPr>
        <w:spacing w:line="480" w:lineRule="auto"/>
        <w:rPr>
          <w:rFonts w:asciiTheme="majorBidi" w:hAnsiTheme="majorBidi" w:cstheme="majorBidi"/>
          <w:b/>
          <w:bCs/>
          <w:sz w:val="28"/>
          <w:szCs w:val="28"/>
        </w:rPr>
      </w:pPr>
    </w:p>
    <w:p w14:paraId="23B5F37B" w14:textId="164A8AA8" w:rsidR="0089077A" w:rsidRPr="0098127B" w:rsidRDefault="0089077A" w:rsidP="0002629E">
      <w:pPr>
        <w:spacing w:line="480" w:lineRule="auto"/>
        <w:rPr>
          <w:rFonts w:asciiTheme="majorBidi" w:hAnsiTheme="majorBidi" w:cstheme="majorBidi"/>
          <w:b/>
          <w:bCs/>
          <w:sz w:val="28"/>
          <w:szCs w:val="28"/>
        </w:rPr>
      </w:pPr>
    </w:p>
    <w:p w14:paraId="44B601C2" w14:textId="156E4832" w:rsidR="0089077A" w:rsidRPr="0098127B" w:rsidRDefault="0089077A" w:rsidP="0002629E">
      <w:pPr>
        <w:spacing w:line="480" w:lineRule="auto"/>
        <w:rPr>
          <w:rFonts w:asciiTheme="majorBidi" w:hAnsiTheme="majorBidi" w:cstheme="majorBidi"/>
          <w:b/>
          <w:bCs/>
          <w:sz w:val="28"/>
          <w:szCs w:val="28"/>
        </w:rPr>
      </w:pPr>
    </w:p>
    <w:p w14:paraId="42D45C0A" w14:textId="67DBB61C" w:rsidR="0089077A" w:rsidRPr="0098127B" w:rsidRDefault="0089077A" w:rsidP="0002629E">
      <w:pPr>
        <w:spacing w:line="480" w:lineRule="auto"/>
        <w:rPr>
          <w:rFonts w:asciiTheme="majorBidi" w:hAnsiTheme="majorBidi" w:cstheme="majorBidi"/>
          <w:b/>
          <w:bCs/>
          <w:sz w:val="28"/>
          <w:szCs w:val="28"/>
        </w:rPr>
      </w:pPr>
    </w:p>
    <w:p w14:paraId="72E63F23" w14:textId="0611224C" w:rsidR="0089077A" w:rsidRPr="0098127B" w:rsidRDefault="0089077A" w:rsidP="0002629E">
      <w:pPr>
        <w:spacing w:line="480" w:lineRule="auto"/>
        <w:rPr>
          <w:rFonts w:asciiTheme="majorBidi" w:hAnsiTheme="majorBidi" w:cstheme="majorBidi"/>
          <w:b/>
          <w:bCs/>
          <w:sz w:val="28"/>
          <w:szCs w:val="28"/>
        </w:rPr>
      </w:pPr>
    </w:p>
    <w:p w14:paraId="5A5D6565" w14:textId="4C07BED7" w:rsidR="0089077A" w:rsidRPr="0098127B" w:rsidRDefault="0089077A" w:rsidP="0002629E">
      <w:pPr>
        <w:spacing w:line="480" w:lineRule="auto"/>
        <w:rPr>
          <w:rFonts w:asciiTheme="majorBidi" w:hAnsiTheme="majorBidi" w:cstheme="majorBidi"/>
          <w:b/>
          <w:bCs/>
          <w:sz w:val="28"/>
          <w:szCs w:val="28"/>
        </w:rPr>
      </w:pPr>
    </w:p>
    <w:p w14:paraId="60310E34" w14:textId="54FAC166" w:rsidR="0089077A" w:rsidRPr="0098127B" w:rsidRDefault="0089077A" w:rsidP="0002629E">
      <w:pPr>
        <w:spacing w:line="480" w:lineRule="auto"/>
        <w:rPr>
          <w:rFonts w:asciiTheme="majorBidi" w:hAnsiTheme="majorBidi" w:cstheme="majorBidi"/>
          <w:b/>
          <w:bCs/>
          <w:sz w:val="28"/>
          <w:szCs w:val="28"/>
        </w:rPr>
      </w:pPr>
    </w:p>
    <w:p w14:paraId="5EF5AF0E" w14:textId="77777777" w:rsidR="003618BC" w:rsidRDefault="003618BC" w:rsidP="0002629E">
      <w:pPr>
        <w:spacing w:line="480" w:lineRule="auto"/>
        <w:rPr>
          <w:rFonts w:asciiTheme="majorBidi" w:hAnsiTheme="majorBidi" w:cstheme="majorBidi"/>
          <w:b/>
          <w:bCs/>
          <w:sz w:val="28"/>
          <w:szCs w:val="28"/>
        </w:rPr>
        <w:sectPr w:rsidR="003618BC" w:rsidSect="003618BC">
          <w:pgSz w:w="11906" w:h="16838" w:code="9"/>
          <w:pgMar w:top="1440" w:right="1440" w:bottom="1440" w:left="1440" w:header="708" w:footer="708" w:gutter="0"/>
          <w:pgNumType w:start="1"/>
          <w:cols w:space="708"/>
          <w:titlePg/>
          <w:docGrid w:linePitch="360"/>
        </w:sectPr>
      </w:pPr>
    </w:p>
    <w:p w14:paraId="329DDB4D" w14:textId="6CF2DE47" w:rsidR="0089077A" w:rsidRPr="0098127B" w:rsidRDefault="0089077A" w:rsidP="0002629E">
      <w:pPr>
        <w:spacing w:line="480" w:lineRule="auto"/>
        <w:rPr>
          <w:rFonts w:asciiTheme="majorBidi" w:hAnsiTheme="majorBidi" w:cstheme="majorBidi"/>
          <w:b/>
          <w:bCs/>
          <w:sz w:val="28"/>
          <w:szCs w:val="28"/>
        </w:rPr>
      </w:pPr>
    </w:p>
    <w:p w14:paraId="3C464AAC" w14:textId="6FAB6C24" w:rsidR="0089077A" w:rsidRPr="0098127B" w:rsidRDefault="0089077A" w:rsidP="0002629E">
      <w:pPr>
        <w:spacing w:line="480" w:lineRule="auto"/>
        <w:rPr>
          <w:rFonts w:asciiTheme="majorBidi" w:hAnsiTheme="majorBidi" w:cstheme="majorBidi"/>
          <w:b/>
          <w:bCs/>
          <w:sz w:val="28"/>
          <w:szCs w:val="28"/>
        </w:rPr>
      </w:pPr>
    </w:p>
    <w:p w14:paraId="1E60A21B" w14:textId="7C37B78D" w:rsidR="0089077A" w:rsidRPr="0098127B" w:rsidRDefault="0089077A" w:rsidP="0002629E">
      <w:pPr>
        <w:spacing w:line="480" w:lineRule="auto"/>
        <w:rPr>
          <w:rFonts w:asciiTheme="majorBidi" w:hAnsiTheme="majorBidi" w:cstheme="majorBidi"/>
          <w:b/>
          <w:bCs/>
          <w:sz w:val="28"/>
          <w:szCs w:val="28"/>
        </w:rPr>
      </w:pPr>
    </w:p>
    <w:p w14:paraId="0089A2F3" w14:textId="3B3CE82B" w:rsidR="0089077A" w:rsidRPr="0098127B" w:rsidRDefault="0089077A" w:rsidP="0002629E">
      <w:pPr>
        <w:spacing w:line="480" w:lineRule="auto"/>
        <w:rPr>
          <w:rFonts w:asciiTheme="majorBidi" w:hAnsiTheme="majorBidi" w:cstheme="majorBidi"/>
          <w:b/>
          <w:bCs/>
          <w:sz w:val="28"/>
          <w:szCs w:val="28"/>
        </w:rPr>
      </w:pPr>
    </w:p>
    <w:p w14:paraId="2AA393B0" w14:textId="6065929D" w:rsidR="0089077A" w:rsidRPr="0098127B" w:rsidRDefault="0089077A" w:rsidP="0002629E">
      <w:pPr>
        <w:spacing w:line="480" w:lineRule="auto"/>
        <w:rPr>
          <w:rFonts w:asciiTheme="majorBidi" w:hAnsiTheme="majorBidi" w:cstheme="majorBidi"/>
          <w:b/>
          <w:bCs/>
          <w:sz w:val="28"/>
          <w:szCs w:val="28"/>
        </w:rPr>
      </w:pPr>
    </w:p>
    <w:p w14:paraId="33B67C69" w14:textId="7E7233F7" w:rsidR="0089077A" w:rsidRDefault="0089077A" w:rsidP="0002629E">
      <w:pPr>
        <w:spacing w:line="480" w:lineRule="auto"/>
        <w:rPr>
          <w:rFonts w:asciiTheme="majorBidi" w:hAnsiTheme="majorBidi" w:cstheme="majorBidi"/>
          <w:b/>
          <w:bCs/>
          <w:sz w:val="28"/>
          <w:szCs w:val="28"/>
        </w:rPr>
      </w:pPr>
    </w:p>
    <w:p w14:paraId="7E4099B1" w14:textId="77777777" w:rsidR="00D433F0" w:rsidRPr="0098127B" w:rsidRDefault="00D433F0" w:rsidP="0002629E">
      <w:pPr>
        <w:spacing w:line="480" w:lineRule="auto"/>
        <w:rPr>
          <w:rFonts w:asciiTheme="majorBidi" w:hAnsiTheme="majorBidi" w:cstheme="majorBidi"/>
          <w:b/>
          <w:bCs/>
          <w:sz w:val="28"/>
          <w:szCs w:val="28"/>
        </w:rPr>
      </w:pPr>
    </w:p>
    <w:p w14:paraId="0672A12B" w14:textId="769DA17F" w:rsidR="0089077A" w:rsidRPr="0098127B" w:rsidRDefault="0089077A" w:rsidP="0002629E">
      <w:pPr>
        <w:spacing w:line="480" w:lineRule="auto"/>
        <w:rPr>
          <w:rFonts w:asciiTheme="majorBidi" w:hAnsiTheme="majorBidi" w:cstheme="majorBidi"/>
          <w:b/>
          <w:bCs/>
          <w:sz w:val="28"/>
          <w:szCs w:val="28"/>
        </w:rPr>
      </w:pPr>
    </w:p>
    <w:p w14:paraId="7D9A590D" w14:textId="10F0BC3D" w:rsidR="0002629E" w:rsidRPr="0098127B" w:rsidRDefault="003F37AA" w:rsidP="00D433F0">
      <w:pPr>
        <w:spacing w:line="480" w:lineRule="auto"/>
        <w:jc w:val="center"/>
        <w:rPr>
          <w:rFonts w:asciiTheme="majorBidi" w:hAnsiTheme="majorBidi" w:cstheme="majorBidi"/>
          <w:b/>
          <w:bCs/>
          <w:sz w:val="32"/>
          <w:szCs w:val="32"/>
        </w:rPr>
      </w:pPr>
      <w:r w:rsidRPr="0098127B">
        <w:rPr>
          <w:rFonts w:asciiTheme="majorBidi" w:hAnsiTheme="majorBidi" w:cstheme="majorBidi"/>
          <w:b/>
          <w:bCs/>
          <w:sz w:val="32"/>
          <w:szCs w:val="32"/>
        </w:rPr>
        <w:t>Chapter Two</w:t>
      </w:r>
      <w:r w:rsidR="00D433F0">
        <w:rPr>
          <w:rFonts w:asciiTheme="majorBidi" w:hAnsiTheme="majorBidi" w:cstheme="majorBidi"/>
          <w:b/>
          <w:bCs/>
          <w:sz w:val="32"/>
          <w:szCs w:val="32"/>
        </w:rPr>
        <w:t xml:space="preserve">: </w:t>
      </w:r>
      <w:r w:rsidR="0002629E" w:rsidRPr="0098127B">
        <w:rPr>
          <w:rFonts w:asciiTheme="majorBidi" w:hAnsiTheme="majorBidi" w:cstheme="majorBidi"/>
          <w:b/>
          <w:bCs/>
          <w:sz w:val="32"/>
          <w:szCs w:val="32"/>
        </w:rPr>
        <w:t>Review of the Related Literature</w:t>
      </w:r>
    </w:p>
    <w:p w14:paraId="31307292" w14:textId="77777777" w:rsidR="003F37AA" w:rsidRPr="0098127B" w:rsidRDefault="003F37AA" w:rsidP="0002629E">
      <w:pPr>
        <w:spacing w:line="480" w:lineRule="auto"/>
        <w:rPr>
          <w:rFonts w:asciiTheme="majorBidi" w:hAnsiTheme="majorBidi" w:cstheme="majorBidi"/>
          <w:b/>
          <w:bCs/>
          <w:sz w:val="24"/>
          <w:szCs w:val="24"/>
        </w:rPr>
      </w:pPr>
    </w:p>
    <w:p w14:paraId="0F6D9F7C" w14:textId="77777777" w:rsidR="003F37AA" w:rsidRPr="0098127B" w:rsidRDefault="003F37AA" w:rsidP="0002629E">
      <w:pPr>
        <w:spacing w:line="480" w:lineRule="auto"/>
        <w:rPr>
          <w:rFonts w:asciiTheme="majorBidi" w:hAnsiTheme="majorBidi" w:cstheme="majorBidi"/>
          <w:b/>
          <w:bCs/>
          <w:sz w:val="24"/>
          <w:szCs w:val="24"/>
        </w:rPr>
      </w:pPr>
    </w:p>
    <w:p w14:paraId="44F3B8C0" w14:textId="77777777" w:rsidR="003F37AA" w:rsidRPr="0098127B" w:rsidRDefault="003F37AA" w:rsidP="0002629E">
      <w:pPr>
        <w:spacing w:line="480" w:lineRule="auto"/>
        <w:rPr>
          <w:rFonts w:asciiTheme="majorBidi" w:hAnsiTheme="majorBidi" w:cstheme="majorBidi"/>
          <w:b/>
          <w:bCs/>
          <w:sz w:val="24"/>
          <w:szCs w:val="24"/>
        </w:rPr>
      </w:pPr>
    </w:p>
    <w:p w14:paraId="01A526CE" w14:textId="77777777" w:rsidR="003F37AA" w:rsidRPr="0098127B" w:rsidRDefault="003F37AA" w:rsidP="0002629E">
      <w:pPr>
        <w:spacing w:line="480" w:lineRule="auto"/>
        <w:rPr>
          <w:rFonts w:asciiTheme="majorBidi" w:hAnsiTheme="majorBidi" w:cstheme="majorBidi"/>
          <w:b/>
          <w:bCs/>
          <w:sz w:val="24"/>
          <w:szCs w:val="24"/>
        </w:rPr>
      </w:pPr>
    </w:p>
    <w:p w14:paraId="05A1D419" w14:textId="77777777" w:rsidR="003F37AA" w:rsidRPr="0098127B" w:rsidRDefault="003F37AA" w:rsidP="0002629E">
      <w:pPr>
        <w:spacing w:line="480" w:lineRule="auto"/>
        <w:rPr>
          <w:rFonts w:asciiTheme="majorBidi" w:hAnsiTheme="majorBidi" w:cstheme="majorBidi"/>
          <w:b/>
          <w:bCs/>
          <w:sz w:val="24"/>
          <w:szCs w:val="24"/>
        </w:rPr>
      </w:pPr>
    </w:p>
    <w:p w14:paraId="7383F325" w14:textId="77777777" w:rsidR="003F37AA" w:rsidRPr="0098127B" w:rsidRDefault="003F37AA" w:rsidP="0002629E">
      <w:pPr>
        <w:spacing w:line="480" w:lineRule="auto"/>
        <w:rPr>
          <w:rFonts w:asciiTheme="majorBidi" w:hAnsiTheme="majorBidi" w:cstheme="majorBidi"/>
          <w:b/>
          <w:bCs/>
          <w:sz w:val="24"/>
          <w:szCs w:val="24"/>
        </w:rPr>
      </w:pPr>
    </w:p>
    <w:p w14:paraId="176BA4F8" w14:textId="77777777" w:rsidR="003F37AA" w:rsidRPr="0098127B" w:rsidRDefault="003F37AA" w:rsidP="0002629E">
      <w:pPr>
        <w:spacing w:line="480" w:lineRule="auto"/>
        <w:rPr>
          <w:rFonts w:asciiTheme="majorBidi" w:hAnsiTheme="majorBidi" w:cstheme="majorBidi"/>
          <w:b/>
          <w:bCs/>
          <w:sz w:val="24"/>
          <w:szCs w:val="24"/>
        </w:rPr>
      </w:pPr>
    </w:p>
    <w:p w14:paraId="1DDEBA99" w14:textId="77777777" w:rsidR="003F37AA" w:rsidRPr="0098127B" w:rsidRDefault="003F37AA" w:rsidP="0002629E">
      <w:pPr>
        <w:spacing w:line="480" w:lineRule="auto"/>
        <w:rPr>
          <w:rFonts w:asciiTheme="majorBidi" w:hAnsiTheme="majorBidi" w:cstheme="majorBidi"/>
          <w:b/>
          <w:bCs/>
          <w:sz w:val="24"/>
          <w:szCs w:val="24"/>
        </w:rPr>
      </w:pPr>
    </w:p>
    <w:p w14:paraId="6B016DA5" w14:textId="77777777" w:rsidR="003F37AA" w:rsidRPr="0098127B" w:rsidRDefault="003F37AA" w:rsidP="0002629E">
      <w:pPr>
        <w:spacing w:line="480" w:lineRule="auto"/>
        <w:rPr>
          <w:rFonts w:asciiTheme="majorBidi" w:hAnsiTheme="majorBidi" w:cstheme="majorBidi"/>
          <w:b/>
          <w:bCs/>
          <w:sz w:val="24"/>
          <w:szCs w:val="24"/>
        </w:rPr>
      </w:pPr>
    </w:p>
    <w:p w14:paraId="37993D3F" w14:textId="6E851231" w:rsidR="003F37AA" w:rsidRPr="0098127B" w:rsidRDefault="003F37AA" w:rsidP="0002629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2.1 Introduction</w:t>
      </w:r>
    </w:p>
    <w:p w14:paraId="3A3FABA3" w14:textId="6E883ECC" w:rsidR="00EA2B2D" w:rsidRPr="0098127B" w:rsidRDefault="006C2A24"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The chapter examines the history of English education in the region, how English fits into national educational policies, and the problems and pressures for reform that many Middle Eastern countries face.</w:t>
      </w:r>
      <w:r w:rsidR="00FE3ABC" w:rsidRPr="0098127B">
        <w:rPr>
          <w:rFonts w:asciiTheme="majorBidi" w:hAnsiTheme="majorBidi" w:cstheme="majorBidi"/>
          <w:sz w:val="24"/>
          <w:szCs w:val="24"/>
        </w:rPr>
        <w:t xml:space="preserve"> </w:t>
      </w:r>
      <w:r w:rsidRPr="0098127B">
        <w:rPr>
          <w:rFonts w:asciiTheme="majorBidi" w:hAnsiTheme="majorBidi" w:cstheme="majorBidi"/>
          <w:sz w:val="24"/>
          <w:szCs w:val="24"/>
        </w:rPr>
        <w:t xml:space="preserve">It also </w:t>
      </w:r>
      <w:r w:rsidR="00D971BD" w:rsidRPr="0098127B">
        <w:rPr>
          <w:rFonts w:asciiTheme="majorBidi" w:hAnsiTheme="majorBidi" w:cstheme="majorBidi"/>
          <w:sz w:val="24"/>
          <w:szCs w:val="24"/>
        </w:rPr>
        <w:t>discusses</w:t>
      </w:r>
      <w:r w:rsidR="00D971BD" w:rsidRPr="0098127B" w:rsidDel="00D971BD">
        <w:rPr>
          <w:rFonts w:asciiTheme="majorBidi" w:hAnsiTheme="majorBidi" w:cstheme="majorBidi"/>
          <w:sz w:val="24"/>
          <w:szCs w:val="24"/>
        </w:rPr>
        <w:t xml:space="preserve"> </w:t>
      </w:r>
      <w:r w:rsidRPr="0098127B">
        <w:rPr>
          <w:rFonts w:asciiTheme="majorBidi" w:hAnsiTheme="majorBidi" w:cstheme="majorBidi"/>
          <w:sz w:val="24"/>
          <w:szCs w:val="24"/>
        </w:rPr>
        <w:t xml:space="preserve">about the English Curriculum Reform in Iraq, including how the ELT curriculum has changed since 2003, why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was chosen, who wrote the books and how they were meant to be used, and how well they worked in local studies and how well they met educational goals. Next, the chapter </w:t>
      </w:r>
      <w:r w:rsidR="003618BC" w:rsidRPr="0098127B">
        <w:rPr>
          <w:rFonts w:asciiTheme="majorBidi" w:hAnsiTheme="majorBidi" w:cstheme="majorBidi"/>
          <w:sz w:val="24"/>
          <w:szCs w:val="24"/>
        </w:rPr>
        <w:t>discusses English</w:t>
      </w:r>
      <w:r w:rsidRPr="0098127B">
        <w:rPr>
          <w:rFonts w:asciiTheme="majorBidi" w:hAnsiTheme="majorBidi" w:cstheme="majorBidi"/>
          <w:sz w:val="24"/>
          <w:szCs w:val="24"/>
        </w:rPr>
        <w:t xml:space="preserve"> Curriculum Reform in Iran. It </w:t>
      </w:r>
      <w:r w:rsidR="00D971BD" w:rsidRPr="0098127B">
        <w:rPr>
          <w:rFonts w:asciiTheme="majorBidi" w:hAnsiTheme="majorBidi" w:cstheme="majorBidi"/>
          <w:sz w:val="24"/>
          <w:szCs w:val="24"/>
        </w:rPr>
        <w:t>discusses</w:t>
      </w:r>
      <w:r w:rsidRPr="0098127B">
        <w:rPr>
          <w:rFonts w:asciiTheme="majorBidi" w:hAnsiTheme="majorBidi" w:cstheme="majorBidi"/>
          <w:sz w:val="24"/>
          <w:szCs w:val="24"/>
        </w:rPr>
        <w:t xml:space="preserve"> how 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came to be, how cultural and religious factors affect textbook development, how local authorship helps align materials with national identity, and how Iranian scholars have evaluated the changes.</w:t>
      </w:r>
    </w:p>
    <w:p w14:paraId="01252763" w14:textId="216B4FF2" w:rsidR="009D0CEC" w:rsidRDefault="006C2A24" w:rsidP="0068376E">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The section on the Role of Textbooks in English Language Teaching</w:t>
      </w:r>
      <w:r w:rsidR="00D971BD" w:rsidRPr="0098127B">
        <w:rPr>
          <w:rFonts w:asciiTheme="majorBidi" w:hAnsiTheme="majorBidi" w:cstheme="majorBidi"/>
          <w:sz w:val="24"/>
          <w:szCs w:val="24"/>
        </w:rPr>
        <w:t xml:space="preserve">, elaborates on </w:t>
      </w:r>
      <w:r w:rsidRPr="0098127B">
        <w:rPr>
          <w:rFonts w:asciiTheme="majorBidi" w:hAnsiTheme="majorBidi" w:cstheme="majorBidi"/>
          <w:sz w:val="24"/>
          <w:szCs w:val="24"/>
        </w:rPr>
        <w:t xml:space="preserve">how textbooks are curriculum artifacts, how they affect teaching and learning, how they are used as ideological tools for cultural and linguistic transmission, and how they are central resources in low-resource, exam-driven settings. Next, there are Textbook Evaluation Frameworks, which give an overview of common models for evaluating textbooks and explain why AbdelWahab's checklist was chosen for this study. Finally, the chapter </w:t>
      </w:r>
      <w:r w:rsidR="009B43AE" w:rsidRPr="0098127B">
        <w:rPr>
          <w:rFonts w:asciiTheme="majorBidi" w:hAnsiTheme="majorBidi" w:cstheme="majorBidi"/>
          <w:sz w:val="24"/>
          <w:szCs w:val="24"/>
        </w:rPr>
        <w:t xml:space="preserve">elucidates </w:t>
      </w:r>
      <w:r w:rsidRPr="0098127B">
        <w:rPr>
          <w:rFonts w:asciiTheme="majorBidi" w:hAnsiTheme="majorBidi" w:cstheme="majorBidi"/>
          <w:sz w:val="24"/>
          <w:szCs w:val="24"/>
        </w:rPr>
        <w:t>the theoretical background, looks at real-world studies about textbook evaluation and ELT in the area, and ends with a statement about the research gap that this study wants to fill.</w:t>
      </w:r>
    </w:p>
    <w:p w14:paraId="2C877D6F" w14:textId="1C315401" w:rsidR="00B44BB7" w:rsidRPr="0098127B" w:rsidRDefault="00B44BB7" w:rsidP="00B44BB7">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Pr>
          <w:rFonts w:asciiTheme="majorBidi" w:hAnsiTheme="majorBidi" w:cstheme="majorBidi"/>
          <w:b/>
          <w:bCs/>
          <w:sz w:val="24"/>
          <w:szCs w:val="24"/>
        </w:rPr>
        <w:t>2</w:t>
      </w:r>
      <w:r w:rsidRPr="0098127B">
        <w:rPr>
          <w:rFonts w:asciiTheme="majorBidi" w:hAnsiTheme="majorBidi" w:cstheme="majorBidi"/>
          <w:b/>
          <w:bCs/>
          <w:sz w:val="24"/>
          <w:szCs w:val="24"/>
        </w:rPr>
        <w:t xml:space="preserve"> Theoretical Background</w:t>
      </w:r>
    </w:p>
    <w:p w14:paraId="64E3E4A3" w14:textId="77777777" w:rsidR="00B44BB7" w:rsidRPr="0098127B" w:rsidRDefault="00B44BB7" w:rsidP="00B44BB7">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foundation of this study is rooted in Content Evaluation Theory, which offers a systematic frame of reference for evaluation of quality, appropriateness, and pedagogical integrity of instructional materials, and specifically textbooks. This study follows the broad evaluation model established by AbdelWahab (2013), which included previous forms of </w:t>
      </w:r>
      <w:r w:rsidRPr="0098127B">
        <w:rPr>
          <w:rFonts w:asciiTheme="majorBidi" w:hAnsiTheme="majorBidi" w:cstheme="majorBidi"/>
          <w:sz w:val="24"/>
          <w:szCs w:val="24"/>
        </w:rPr>
        <w:lastRenderedPageBreak/>
        <w:t>evaluation checklists designed specifically for textbooks (for example, Mukundan et al., 2011) within a model that evaluates textbooks based on distinct categories: physical features; learning aims and objectives; delivery of content; and the integration of language skills. The underlying assumption is that educational materials should be content that meets the aims of the curriculum and takes into account the cognitive, linguistic, and cultural needs of the learners.</w:t>
      </w:r>
    </w:p>
    <w:p w14:paraId="15C72ED6" w14:textId="77777777" w:rsidR="00B44BB7" w:rsidRPr="0098127B" w:rsidRDefault="00B44BB7" w:rsidP="00B44BB7">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Corresponding to this aspect is Curriculum Theory, especially the perspective that curricula are sociocultural constructs representing different ideological, political and educational values (Schiro, 2012). While this study regards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of textbooks as more than instructional materials, they are representative of the national curriculum ideologies. Even though Iraq's textbooks coming from outside authorship therefore globalized perspectives, the Iranian series are locally developed therefore place a high value on cultural authenticity and communicative competence, using Curriculum Theory will help contextualize the differences in content. Finally, the research draws on Critical Pedagogy's view, particularly when we analyse cultural representation in textbooks. This view indicates, along with Freire, that textbooks are not neutral nor objective; they disseminate values, identities and power relations (Freire, 1970). </w:t>
      </w:r>
    </w:p>
    <w:p w14:paraId="7569F2D9" w14:textId="1262208C" w:rsidR="00B4266B" w:rsidRPr="0098127B" w:rsidRDefault="00B4266B" w:rsidP="00B4266B">
      <w:pPr>
        <w:spacing w:line="480" w:lineRule="auto"/>
        <w:rPr>
          <w:rFonts w:ascii="Times New Roman" w:eastAsia="Times New Roman" w:hAnsi="Times New Roman" w:cs="Times New Roman"/>
          <w:b/>
          <w:bCs/>
          <w:kern w:val="0"/>
          <w:sz w:val="27"/>
          <w:szCs w:val="27"/>
          <w:lang w:eastAsia="en-CA"/>
          <w14:ligatures w14:val="none"/>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3</w:t>
      </w:r>
      <w:r w:rsidRPr="0098127B">
        <w:rPr>
          <w:rFonts w:asciiTheme="majorBidi" w:hAnsiTheme="majorBidi" w:cstheme="majorBidi"/>
          <w:b/>
          <w:bCs/>
          <w:sz w:val="24"/>
          <w:szCs w:val="24"/>
        </w:rPr>
        <w:t xml:space="preserve"> ELT Curriculum in the Middle East</w:t>
      </w:r>
    </w:p>
    <w:p w14:paraId="64466B6C" w14:textId="35EC3564" w:rsidR="00B4266B" w:rsidRPr="0098127B" w:rsidRDefault="00B4266B" w:rsidP="00B4266B">
      <w:pPr>
        <w:spacing w:line="480" w:lineRule="auto"/>
        <w:rPr>
          <w:rFonts w:ascii="Times New Roman" w:eastAsia="Times New Roman" w:hAnsi="Times New Roman" w:cs="Times New Roman"/>
          <w:b/>
          <w:bCs/>
          <w:kern w:val="0"/>
          <w:sz w:val="24"/>
          <w:szCs w:val="24"/>
          <w:lang w:eastAsia="en-CA"/>
          <w14:ligatures w14:val="none"/>
        </w:rPr>
      </w:pPr>
      <w:r w:rsidRPr="0098127B">
        <w:rPr>
          <w:rFonts w:ascii="Times New Roman" w:eastAsia="Times New Roman" w:hAnsi="Times New Roman" w:cs="Times New Roman"/>
          <w:b/>
          <w:bCs/>
          <w:kern w:val="0"/>
          <w:sz w:val="24"/>
          <w:szCs w:val="24"/>
          <w:lang w:eastAsia="en-CA"/>
          <w14:ligatures w14:val="none"/>
        </w:rPr>
        <w:t>2.</w:t>
      </w:r>
      <w:r w:rsidR="00B44BB7">
        <w:rPr>
          <w:rFonts w:ascii="Times New Roman" w:eastAsia="Times New Roman" w:hAnsi="Times New Roman" w:cs="Times New Roman"/>
          <w:b/>
          <w:bCs/>
          <w:kern w:val="0"/>
          <w:sz w:val="24"/>
          <w:szCs w:val="24"/>
          <w:lang w:eastAsia="en-CA"/>
          <w14:ligatures w14:val="none"/>
        </w:rPr>
        <w:t>3</w:t>
      </w:r>
      <w:r w:rsidRPr="0098127B">
        <w:rPr>
          <w:rFonts w:ascii="Times New Roman" w:eastAsia="Times New Roman" w:hAnsi="Times New Roman" w:cs="Times New Roman"/>
          <w:b/>
          <w:bCs/>
          <w:kern w:val="0"/>
          <w:sz w:val="24"/>
          <w:szCs w:val="24"/>
          <w:lang w:eastAsia="en-CA"/>
          <w14:ligatures w14:val="none"/>
        </w:rPr>
        <w:t xml:space="preserve">.1 Historical </w:t>
      </w:r>
      <w:r w:rsidR="008B67D4" w:rsidRPr="0098127B">
        <w:rPr>
          <w:rFonts w:ascii="Times New Roman" w:eastAsia="Times New Roman" w:hAnsi="Times New Roman" w:cs="Times New Roman"/>
          <w:b/>
          <w:bCs/>
          <w:kern w:val="0"/>
          <w:sz w:val="24"/>
          <w:szCs w:val="24"/>
          <w:lang w:eastAsia="en-CA"/>
          <w14:ligatures w14:val="none"/>
        </w:rPr>
        <w:t xml:space="preserve">Context </w:t>
      </w:r>
      <w:r w:rsidRPr="0098127B">
        <w:rPr>
          <w:rFonts w:ascii="Times New Roman" w:eastAsia="Times New Roman" w:hAnsi="Times New Roman" w:cs="Times New Roman"/>
          <w:b/>
          <w:bCs/>
          <w:kern w:val="0"/>
          <w:sz w:val="24"/>
          <w:szCs w:val="24"/>
          <w:lang w:eastAsia="en-CA"/>
          <w14:ligatures w14:val="none"/>
        </w:rPr>
        <w:t xml:space="preserve">of English </w:t>
      </w:r>
      <w:r w:rsidR="008B67D4" w:rsidRPr="0098127B">
        <w:rPr>
          <w:rFonts w:asciiTheme="majorBidi" w:hAnsiTheme="majorBidi" w:cstheme="majorBidi"/>
          <w:b/>
          <w:bCs/>
          <w:sz w:val="24"/>
          <w:szCs w:val="24"/>
        </w:rPr>
        <w:t>in the Middle East</w:t>
      </w:r>
    </w:p>
    <w:p w14:paraId="03A172E3" w14:textId="7F406A28" w:rsidR="0045640F" w:rsidRPr="0098127B" w:rsidRDefault="0045640F"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A complex array of historical, political, and cultural factors has shaped the path of English language education in the Middle East (Goldschmidt, 2018). English was mainly showed in missionary schools, colonial governments, and later, modernization projects run by national governments during the colonial and post-colonial periods (Cleveland &amp; Bunton, 2024). Egypt, Iraq, and Iran all came into contact with English in different ways, such as through </w:t>
      </w:r>
      <w:r w:rsidRPr="0098127B">
        <w:rPr>
          <w:rFonts w:asciiTheme="majorBidi" w:hAnsiTheme="majorBidi" w:cstheme="majorBidi"/>
          <w:sz w:val="24"/>
          <w:szCs w:val="24"/>
        </w:rPr>
        <w:lastRenderedPageBreak/>
        <w:t>British mandates, educational treaties, or foreign technical missions. Over time, English became a part of their bureaucratic, academic, and elite domains (Milton-Edwards, 2018). English was first seen as a language of power and Western dominance, but it has since become a useful tool for international communication, scientific progress, and economic participation (Cleveland &amp; Bunton, 2024).</w:t>
      </w:r>
    </w:p>
    <w:p w14:paraId="63C10FE2" w14:textId="46058519" w:rsidR="0045640F" w:rsidRPr="0098127B" w:rsidRDefault="0045640F" w:rsidP="0045640F">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After independence movements in the middle of the 20th century, many Middle Eastern countries set up national education systems that kept English as a key subject, but for different reasons (Anderson et al., 2020).</w:t>
      </w:r>
      <w:r w:rsidR="00192442" w:rsidRPr="0098127B">
        <w:rPr>
          <w:rFonts w:asciiTheme="majorBidi" w:hAnsiTheme="majorBidi" w:cstheme="majorBidi"/>
          <w:sz w:val="24"/>
          <w:szCs w:val="24"/>
        </w:rPr>
        <w:t xml:space="preserve"> </w:t>
      </w:r>
      <w:r w:rsidRPr="0098127B">
        <w:rPr>
          <w:rFonts w:asciiTheme="majorBidi" w:hAnsiTheme="majorBidi" w:cstheme="majorBidi"/>
          <w:sz w:val="24"/>
          <w:szCs w:val="24"/>
        </w:rPr>
        <w:t>For instance, in the Gulf states, which have a lot of oil, English was promoted to make trade easier, bring in foreign investment, and modernize public administration (Bozeman, 2017). Countries like Iran and Iraq, on the other hand, have been more careful about teaching English.</w:t>
      </w:r>
      <w:r w:rsidR="00192442" w:rsidRPr="0098127B">
        <w:rPr>
          <w:rFonts w:asciiTheme="majorBidi" w:hAnsiTheme="majorBidi" w:cstheme="majorBidi"/>
          <w:sz w:val="24"/>
          <w:szCs w:val="24"/>
        </w:rPr>
        <w:t xml:space="preserve"> </w:t>
      </w:r>
      <w:r w:rsidRPr="0098127B">
        <w:rPr>
          <w:rFonts w:asciiTheme="majorBidi" w:hAnsiTheme="majorBidi" w:cstheme="majorBidi"/>
          <w:sz w:val="24"/>
          <w:szCs w:val="24"/>
        </w:rPr>
        <w:t>They often try to find a balance between wanting to be part of the world and wanting to keep their own culture and language (Goldschmidt, 2018). These tensions have affected how English classes are set up, how much exposure students get, and the cultural content that is included in the materials used to teach.</w:t>
      </w:r>
    </w:p>
    <w:p w14:paraId="760C7072" w14:textId="2FAF9003" w:rsidR="0045640F" w:rsidRPr="0098127B" w:rsidRDefault="0045640F" w:rsidP="0045640F">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Globalization and the quick growth of digital communication technologies made English more important in the region by the end of the 20th century and into the 21</w:t>
      </w:r>
      <w:r w:rsidRPr="0098127B">
        <w:rPr>
          <w:rFonts w:asciiTheme="majorBidi" w:hAnsiTheme="majorBidi" w:cstheme="majorBidi"/>
          <w:sz w:val="24"/>
          <w:szCs w:val="24"/>
          <w:vertAlign w:val="superscript"/>
        </w:rPr>
        <w:t>st</w:t>
      </w:r>
      <w:r w:rsidRPr="0098127B">
        <w:rPr>
          <w:rFonts w:asciiTheme="majorBidi" w:hAnsiTheme="majorBidi" w:cstheme="majorBidi"/>
          <w:sz w:val="24"/>
          <w:szCs w:val="24"/>
        </w:rPr>
        <w:t xml:space="preserve"> (Tannous, 2020). Governments were starting to see English as a way to get into college, get a job, and move around the world. As a result, countries like Saudi Arabia, the UAE, Iraq, and Iran made big changes to how they teach English as a second language (Milton-Edwards, 2018). These changes put more emphasis on communicative competence, learner autonomy, and meeting the standards of the Common European Framework of Reference (CEFR).</w:t>
      </w:r>
      <w:r w:rsidR="00192442" w:rsidRPr="0098127B">
        <w:rPr>
          <w:rFonts w:asciiTheme="majorBidi" w:hAnsiTheme="majorBidi" w:cstheme="majorBidi"/>
          <w:sz w:val="24"/>
          <w:szCs w:val="24"/>
        </w:rPr>
        <w:t xml:space="preserve"> </w:t>
      </w:r>
      <w:r w:rsidRPr="0098127B">
        <w:rPr>
          <w:rFonts w:asciiTheme="majorBidi" w:hAnsiTheme="majorBidi" w:cstheme="majorBidi"/>
          <w:sz w:val="24"/>
          <w:szCs w:val="24"/>
        </w:rPr>
        <w:t>Nonetheless, the integration of Western pedagogical models has been inconsistent, hindered by regional teacher training frameworks, assessment methodologies, and sociopolitical ideologies (Goldschmidt, 2018).</w:t>
      </w:r>
    </w:p>
    <w:p w14:paraId="4FCFB014" w14:textId="7F19DA33" w:rsidR="008B67D4" w:rsidRPr="0098127B" w:rsidRDefault="0045640F" w:rsidP="0045640F">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The emphasis has recently transitioned to the indigenization of English Language Teaching (ELT) resources, particularly the creation of locally authored textbooks that more accurately represent national values and socio-religious norms (Molnar, 2017). In response to fears about cultural imperialism in global textbooks, the ministries of education in Iran and Iraq have either adopted or made English textbooks that are better suited to their own situations (Goldschmidt, 2018). These changes are part of a bigger trend in the region: a shift from imported to context-specific ELT resources that aim to preserve national identity while enabling functional English proficiency. The comparative analysis of localized materials conducted in this study provides significant insights into the ways countries reconcile global linguistic requirements with domestic educational philosophies.</w:t>
      </w:r>
    </w:p>
    <w:p w14:paraId="40AFC94C" w14:textId="58C192DB" w:rsidR="00B4266B" w:rsidRPr="0098127B" w:rsidRDefault="00B4266B" w:rsidP="00B4266B">
      <w:pPr>
        <w:spacing w:line="480" w:lineRule="auto"/>
        <w:rPr>
          <w:rFonts w:ascii="Times New Roman" w:eastAsia="Times New Roman" w:hAnsi="Times New Roman" w:cs="Times New Roman"/>
          <w:b/>
          <w:bCs/>
          <w:kern w:val="0"/>
          <w:sz w:val="24"/>
          <w:szCs w:val="24"/>
          <w:lang w:eastAsia="en-CA"/>
          <w14:ligatures w14:val="none"/>
        </w:rPr>
      </w:pPr>
      <w:r w:rsidRPr="0098127B">
        <w:rPr>
          <w:rFonts w:ascii="Times New Roman" w:eastAsia="Times New Roman" w:hAnsi="Times New Roman" w:cs="Times New Roman"/>
          <w:b/>
          <w:bCs/>
          <w:kern w:val="0"/>
          <w:sz w:val="24"/>
          <w:szCs w:val="24"/>
          <w:lang w:eastAsia="en-CA"/>
          <w14:ligatures w14:val="none"/>
        </w:rPr>
        <w:t>2.</w:t>
      </w:r>
      <w:r w:rsidR="00B44BB7">
        <w:rPr>
          <w:rFonts w:ascii="Times New Roman" w:eastAsia="Times New Roman" w:hAnsi="Times New Roman" w:cs="Times New Roman"/>
          <w:b/>
          <w:bCs/>
          <w:kern w:val="0"/>
          <w:sz w:val="24"/>
          <w:szCs w:val="24"/>
          <w:lang w:eastAsia="en-CA"/>
          <w14:ligatures w14:val="none"/>
        </w:rPr>
        <w:t>3</w:t>
      </w:r>
      <w:r w:rsidRPr="0098127B">
        <w:rPr>
          <w:rFonts w:ascii="Times New Roman" w:eastAsia="Times New Roman" w:hAnsi="Times New Roman" w:cs="Times New Roman"/>
          <w:b/>
          <w:bCs/>
          <w:kern w:val="0"/>
          <w:sz w:val="24"/>
          <w:szCs w:val="24"/>
          <w:lang w:eastAsia="en-CA"/>
          <w14:ligatures w14:val="none"/>
        </w:rPr>
        <w:t xml:space="preserve">.2 Role of English </w:t>
      </w:r>
      <w:r w:rsidR="008B67D4" w:rsidRPr="0098127B">
        <w:rPr>
          <w:rFonts w:ascii="Times New Roman" w:eastAsia="Times New Roman" w:hAnsi="Times New Roman" w:cs="Times New Roman"/>
          <w:b/>
          <w:bCs/>
          <w:kern w:val="0"/>
          <w:sz w:val="24"/>
          <w:szCs w:val="24"/>
          <w:lang w:eastAsia="en-CA"/>
          <w14:ligatures w14:val="none"/>
        </w:rPr>
        <w:t>i</w:t>
      </w:r>
      <w:r w:rsidRPr="0098127B">
        <w:rPr>
          <w:rFonts w:ascii="Times New Roman" w:eastAsia="Times New Roman" w:hAnsi="Times New Roman" w:cs="Times New Roman"/>
          <w:b/>
          <w:bCs/>
          <w:kern w:val="0"/>
          <w:sz w:val="24"/>
          <w:szCs w:val="24"/>
          <w:lang w:eastAsia="en-CA"/>
          <w14:ligatures w14:val="none"/>
        </w:rPr>
        <w:t xml:space="preserve">n </w:t>
      </w:r>
      <w:r w:rsidR="008B67D4" w:rsidRPr="0098127B">
        <w:rPr>
          <w:rFonts w:ascii="Times New Roman" w:eastAsia="Times New Roman" w:hAnsi="Times New Roman" w:cs="Times New Roman"/>
          <w:b/>
          <w:bCs/>
          <w:kern w:val="0"/>
          <w:sz w:val="24"/>
          <w:szCs w:val="24"/>
          <w:lang w:eastAsia="en-CA"/>
          <w14:ligatures w14:val="none"/>
        </w:rPr>
        <w:t>Educational Policy</w:t>
      </w:r>
    </w:p>
    <w:p w14:paraId="30E1914E" w14:textId="34A8E34F" w:rsidR="002F0454" w:rsidRPr="0098127B" w:rsidRDefault="002F0454"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In the last few decades, the status of English as a foreign language in the Middle East has become more important in national education policies (Or, 2017). Arabic is still the official and teaching language in most countries in the region, but English has become a required subject in schools from early primary school to university (Barnawi, 2017). This is mostly because English is a global language that is important for reading international academic literature, taking part in global economic systems, and making progress in science and technology (Iranmehr et al., 2024). So, English is not only seen as a language skill, but also as a strategic asset in plans for national development.</w:t>
      </w:r>
    </w:p>
    <w:p w14:paraId="5890324E" w14:textId="35A1886D" w:rsidR="002F0454" w:rsidRPr="0098127B" w:rsidRDefault="002F0454" w:rsidP="002F045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Governments in the area have added English to their school systems in different ways and with different levels of ambition. According to Haidar and Fang (2019), English is very important for internationalization and economic diversification in places like the United Arab Emirates, Saudi Arabia, and Qatar. These countries have created bilingual or English as a Medium of Instruction (EMI) programs in both public and private schools to help students </w:t>
      </w:r>
      <w:r w:rsidRPr="0098127B">
        <w:rPr>
          <w:rFonts w:asciiTheme="majorBidi" w:hAnsiTheme="majorBidi" w:cstheme="majorBidi"/>
          <w:sz w:val="24"/>
          <w:szCs w:val="24"/>
        </w:rPr>
        <w:lastRenderedPageBreak/>
        <w:t>learn English faster (Kirkpatrick &amp; Liddicoat, 2017). In Iraq and Iran, on the other hand, English is still considered a foreign language rather than a second language. However, it is part of the official curriculum starting in middle school (Iranmehr et al., 2024). Policy documents say that focusing on English will help people connect with the rest of the world, do better in college, and get ready for the job market.</w:t>
      </w:r>
    </w:p>
    <w:p w14:paraId="2EE6B36D" w14:textId="2652A75A" w:rsidR="002F0454" w:rsidRPr="0098127B" w:rsidRDefault="002F0454" w:rsidP="002F045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There is, however, some tension around the use of English in school policy. Middle Eastern countries need to find a balance between the practical benefits of English and the need to protect their languages and cultures (Rose &amp; McKinley, 2018). In some cases, people are against the idea that English is taking over their culture, especially when it comes to Western values that are built into teaching materials from other countries (Haidar &amp; Fang, 2019). As a result, many education ministries have chosen to make English lessons more relevant to their students by creating national textbook series that are written by local teachers and are in line with cultural and religious values. This method lets governments encourage people to learn English while still controlling what they learn ideologically.</w:t>
      </w:r>
    </w:p>
    <w:p w14:paraId="6C856E16" w14:textId="62C5F101" w:rsidR="008B67D4" w:rsidRPr="0098127B" w:rsidRDefault="002F0454" w:rsidP="002F045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Furthermore, educational policy in the region increasingly regards English not merely as a subject, but as a vehicle for augmenting national competitiveness (Phillipson, 2017). Policymakers are aware that being able to speak English well is often necessary for global academic rankings, being part of international research networks, and transnational economic partnerships. Consequently, English language education is associated with overarching socio-economic reform objectives, including youth empowerment, modernization, and the diversification of knowledge economies (Rose &amp; McKinley, 2018). But the success of these kinds of policies depends a lot on things like how well teachers are trained, how good the textbooks are, how English is taught in the classroom, and how people in the region feel about English.</w:t>
      </w:r>
    </w:p>
    <w:p w14:paraId="6C62E742" w14:textId="493F7733" w:rsidR="00B4266B" w:rsidRPr="0098127B" w:rsidRDefault="00B4266B" w:rsidP="00B4266B">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98127B">
        <w:rPr>
          <w:rFonts w:ascii="Times New Roman" w:eastAsia="Times New Roman" w:hAnsi="Times New Roman" w:cs="Times New Roman"/>
          <w:b/>
          <w:bCs/>
          <w:kern w:val="0"/>
          <w:sz w:val="24"/>
          <w:szCs w:val="24"/>
          <w:lang w:eastAsia="en-CA"/>
          <w14:ligatures w14:val="none"/>
        </w:rPr>
        <w:lastRenderedPageBreak/>
        <w:t>2.</w:t>
      </w:r>
      <w:r w:rsidR="00B44BB7">
        <w:rPr>
          <w:rFonts w:ascii="Times New Roman" w:eastAsia="Times New Roman" w:hAnsi="Times New Roman" w:cs="Times New Roman"/>
          <w:b/>
          <w:bCs/>
          <w:kern w:val="0"/>
          <w:sz w:val="24"/>
          <w:szCs w:val="24"/>
          <w:lang w:eastAsia="en-CA"/>
          <w14:ligatures w14:val="none"/>
        </w:rPr>
        <w:t>3</w:t>
      </w:r>
      <w:r w:rsidRPr="0098127B">
        <w:rPr>
          <w:rFonts w:ascii="Times New Roman" w:eastAsia="Times New Roman" w:hAnsi="Times New Roman" w:cs="Times New Roman"/>
          <w:b/>
          <w:bCs/>
          <w:kern w:val="0"/>
          <w:sz w:val="24"/>
          <w:szCs w:val="24"/>
          <w:lang w:eastAsia="en-CA"/>
          <w14:ligatures w14:val="none"/>
        </w:rPr>
        <w:t xml:space="preserve">.3 Shared </w:t>
      </w:r>
      <w:r w:rsidR="008B67D4" w:rsidRPr="0098127B">
        <w:rPr>
          <w:rFonts w:ascii="Times New Roman" w:eastAsia="Times New Roman" w:hAnsi="Times New Roman" w:cs="Times New Roman"/>
          <w:b/>
          <w:bCs/>
          <w:kern w:val="0"/>
          <w:sz w:val="24"/>
          <w:szCs w:val="24"/>
          <w:lang w:eastAsia="en-CA"/>
          <w14:ligatures w14:val="none"/>
        </w:rPr>
        <w:t xml:space="preserve">Challenges </w:t>
      </w:r>
      <w:r w:rsidRPr="0098127B">
        <w:rPr>
          <w:rFonts w:ascii="Times New Roman" w:eastAsia="Times New Roman" w:hAnsi="Times New Roman" w:cs="Times New Roman"/>
          <w:b/>
          <w:bCs/>
          <w:kern w:val="0"/>
          <w:sz w:val="24"/>
          <w:szCs w:val="24"/>
          <w:lang w:eastAsia="en-CA"/>
          <w14:ligatures w14:val="none"/>
        </w:rPr>
        <w:t xml:space="preserve">and </w:t>
      </w:r>
      <w:r w:rsidR="008B67D4" w:rsidRPr="0098127B">
        <w:rPr>
          <w:rFonts w:ascii="Times New Roman" w:eastAsia="Times New Roman" w:hAnsi="Times New Roman" w:cs="Times New Roman"/>
          <w:b/>
          <w:bCs/>
          <w:kern w:val="0"/>
          <w:sz w:val="24"/>
          <w:szCs w:val="24"/>
          <w:lang w:eastAsia="en-CA"/>
          <w14:ligatures w14:val="none"/>
        </w:rPr>
        <w:t>Reform Pressures in</w:t>
      </w:r>
      <w:r w:rsidRPr="0098127B">
        <w:rPr>
          <w:rFonts w:ascii="Times New Roman" w:eastAsia="Times New Roman" w:hAnsi="Times New Roman" w:cs="Times New Roman"/>
          <w:b/>
          <w:bCs/>
          <w:kern w:val="0"/>
          <w:sz w:val="24"/>
          <w:szCs w:val="24"/>
          <w:lang w:eastAsia="en-CA"/>
          <w14:ligatures w14:val="none"/>
        </w:rPr>
        <w:t xml:space="preserve"> Middle East</w:t>
      </w:r>
    </w:p>
    <w:p w14:paraId="60D76555" w14:textId="21FAC161" w:rsidR="005A159B" w:rsidRPr="0098127B" w:rsidRDefault="005A159B"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Even though the Middle Eastern countries have different political systems, levels of economic growth, and languages, they all have the same problems when it comes to teaching English (McLaughlin &amp; Ruby, 2021). The disparity between policy and practice is one of the most common problems. Educational reforms that advocate for communicative, learner-centered methodologies frequently remain superficial due to inadequate teacher training, outdated pedagogical practices, and assessment systems that prioritize rote memorization over practical language application (Bhattarai &amp; Yousef, 2025). Even though policy papers may support Communicative Language Teaching (CLT), grammar-translation methods and teacher-fronted instruction are often the norm in the classroom, especially in rural or under-resourced areas (McLaughlin &amp; Ruby, 2021).</w:t>
      </w:r>
    </w:p>
    <w:p w14:paraId="4257483E" w14:textId="3D46463F" w:rsidR="005A159B" w:rsidRPr="0098127B" w:rsidRDefault="005A159B" w:rsidP="005A159B">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 significant obstacle is the lack of qualified English language instructors. In numerous nations, teacher preparation programs have failed to progress in alignment with curricular reforms. Because of this, teachers often fail to provide the professional development opportunities they need to use interactive and communicative methods well (Nasser, 2017). In-service training programs are sometimes not regular, too theoretical, or not related to the specific needs of teachers in their area. This situation is worse in countries like Iraq and Syria that are in conflict, where there is insufficient people and infrastructure to make long-term changes (Bruns et al., 2019).</w:t>
      </w:r>
    </w:p>
    <w:p w14:paraId="297B4E9D" w14:textId="2DEE2419" w:rsidR="005A159B" w:rsidRPr="0098127B" w:rsidRDefault="005A159B" w:rsidP="005A159B">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There are also shared concerns about the quality of textbooks and their relevance to different cultures. A lot of countries in the Middle East have stopped using ELT materials from the West and started using textbooks made in their own countries (Cleveland &amp; Bunton, 2024). This move makes cultural and ideological alignment stronger, but it also makes it harder to make sure that these materials meet international teaching standards. Textbooks made in the area rarely do a good job of encouraging real communication, critical thinking, or </w:t>
      </w:r>
      <w:r w:rsidRPr="0098127B">
        <w:rPr>
          <w:rFonts w:asciiTheme="majorBidi" w:hAnsiTheme="majorBidi" w:cstheme="majorBidi"/>
          <w:sz w:val="24"/>
          <w:szCs w:val="24"/>
        </w:rPr>
        <w:lastRenderedPageBreak/>
        <w:t>using language in real life. It is still hard for ministries of education to find a balance between Islamic or national values and modern communication content (Al-Samarraie et al., 2020).</w:t>
      </w:r>
    </w:p>
    <w:p w14:paraId="7A839993" w14:textId="2BEAABAB" w:rsidR="005A159B" w:rsidRPr="0098127B" w:rsidRDefault="005A159B" w:rsidP="005A159B">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Also, most of the region's assessment systems have not changed much. High-stakes exams still put a lot of emphasis on grammar and vocabulary memorization, which makes it less likely that teachers will use methods that encourage speaking, interaction, or skills development (Torres et al., 2022). This washback effect from testing makes it harder to use communicative curricula and makes students less motivated to learn. Changing national examination systems is often politically sensitive and logistically difficult, which makes it harder to make changes in this area (Nasser, 2017).</w:t>
      </w:r>
    </w:p>
    <w:p w14:paraId="392AF866" w14:textId="3CB7A43C" w:rsidR="00937236" w:rsidRPr="0098127B" w:rsidRDefault="005A159B" w:rsidP="00B81B59">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Lastly, globalization, international benchmarking, and regional educational competitiveness are putting more and more pressure on the region to make changes (Wilson, 2021). The British Council's ELT projects, </w:t>
      </w:r>
      <w:r w:rsidR="00E90B1B" w:rsidRPr="0098127B">
        <w:rPr>
          <w:rFonts w:asciiTheme="majorBidi" w:hAnsiTheme="majorBidi" w:cstheme="majorBidi"/>
          <w:sz w:val="24"/>
          <w:szCs w:val="24"/>
        </w:rPr>
        <w:t>and Programme for International Student Assessment (PISA) a</w:t>
      </w:r>
      <w:r w:rsidRPr="0098127B">
        <w:rPr>
          <w:rFonts w:asciiTheme="majorBidi" w:hAnsiTheme="majorBidi" w:cstheme="majorBidi"/>
          <w:sz w:val="24"/>
          <w:szCs w:val="24"/>
        </w:rPr>
        <w:t>re examples of global efforts that have made many Middle Eastern countries change their language education policies.</w:t>
      </w:r>
      <w:r w:rsidR="00FE3ABC" w:rsidRPr="0098127B">
        <w:rPr>
          <w:rFonts w:asciiTheme="majorBidi" w:hAnsiTheme="majorBidi" w:cstheme="majorBidi"/>
          <w:sz w:val="24"/>
          <w:szCs w:val="24"/>
        </w:rPr>
        <w:t xml:space="preserve"> </w:t>
      </w:r>
      <w:r w:rsidRPr="0098127B">
        <w:rPr>
          <w:rFonts w:asciiTheme="majorBidi" w:hAnsiTheme="majorBidi" w:cstheme="majorBidi"/>
          <w:sz w:val="24"/>
          <w:szCs w:val="24"/>
        </w:rPr>
        <w:t>However, reforms that are imposed from above or driven by external forces may find it difficult to gain traction without adequate grassroots backing or contextually relevant adaptation (McLaughlin &amp; Ruby, 2021). So, even well-funded reform plans may not work or only lead to symbolic changes if teacher voices, local needs, and classroom realities are not better included in policy planning.</w:t>
      </w:r>
    </w:p>
    <w:p w14:paraId="4E861402" w14:textId="24406DB1"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4</w:t>
      </w:r>
      <w:r w:rsidRPr="0098127B">
        <w:rPr>
          <w:rFonts w:asciiTheme="majorBidi" w:hAnsiTheme="majorBidi" w:cstheme="majorBidi"/>
          <w:b/>
          <w:bCs/>
          <w:sz w:val="24"/>
          <w:szCs w:val="24"/>
        </w:rPr>
        <w:t xml:space="preserve"> English Curriculum Reform in Iraq</w:t>
      </w:r>
    </w:p>
    <w:p w14:paraId="08BA6C98" w14:textId="2758F229"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4</w:t>
      </w:r>
      <w:r w:rsidRPr="0098127B">
        <w:rPr>
          <w:rFonts w:asciiTheme="majorBidi" w:hAnsiTheme="majorBidi" w:cstheme="majorBidi"/>
          <w:b/>
          <w:bCs/>
          <w:sz w:val="24"/>
          <w:szCs w:val="24"/>
        </w:rPr>
        <w:t xml:space="preserve">.1 Evolution of ELT </w:t>
      </w:r>
      <w:r w:rsidR="008B67D4" w:rsidRPr="0098127B">
        <w:rPr>
          <w:rFonts w:asciiTheme="majorBidi" w:hAnsiTheme="majorBidi" w:cstheme="majorBidi"/>
          <w:b/>
          <w:bCs/>
          <w:sz w:val="24"/>
          <w:szCs w:val="24"/>
        </w:rPr>
        <w:t>C</w:t>
      </w:r>
      <w:r w:rsidRPr="0098127B">
        <w:rPr>
          <w:rFonts w:asciiTheme="majorBidi" w:hAnsiTheme="majorBidi" w:cstheme="majorBidi"/>
          <w:b/>
          <w:bCs/>
          <w:sz w:val="24"/>
          <w:szCs w:val="24"/>
        </w:rPr>
        <w:t xml:space="preserve">urriculum </w:t>
      </w:r>
      <w:r w:rsidR="008B67D4" w:rsidRPr="0098127B">
        <w:rPr>
          <w:rFonts w:asciiTheme="majorBidi" w:hAnsiTheme="majorBidi" w:cstheme="majorBidi"/>
          <w:b/>
          <w:bCs/>
          <w:sz w:val="24"/>
          <w:szCs w:val="24"/>
        </w:rPr>
        <w:t>P</w:t>
      </w:r>
      <w:r w:rsidRPr="0098127B">
        <w:rPr>
          <w:rFonts w:asciiTheme="majorBidi" w:hAnsiTheme="majorBidi" w:cstheme="majorBidi"/>
          <w:b/>
          <w:bCs/>
          <w:sz w:val="24"/>
          <w:szCs w:val="24"/>
        </w:rPr>
        <w:t>ost-2003</w:t>
      </w:r>
    </w:p>
    <w:p w14:paraId="5C1F4938" w14:textId="1C63A38C" w:rsidR="00A71640" w:rsidRPr="0098127B" w:rsidRDefault="00A71640"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invasion of Iraq in 2003 was a big change in the country's politics, economy, and society, as well as in its educational philosophy, including its ELT curriculum (Attaby, 2019). Before 2003, Iraq's English education relied heavily on grammar-translation methods, memorizing vocabulary without any context, and structuralist textbooks that put more stress on accuracy </w:t>
      </w:r>
      <w:r w:rsidRPr="0098127B">
        <w:rPr>
          <w:rFonts w:asciiTheme="majorBidi" w:hAnsiTheme="majorBidi" w:cstheme="majorBidi"/>
          <w:sz w:val="24"/>
          <w:szCs w:val="24"/>
        </w:rPr>
        <w:lastRenderedPageBreak/>
        <w:t>than on communication (Attaby, 2019). The classroom was mostly focused on the teacher, and students did not have much chance to listen to real English being spoken. But after the fall of the Ba'ath regime, there was a strong push in Iraq for educational modernization and reform. This was partly because of international aid groups and the changing needs of society (Qadir et al., 2023). English, especially, was moved to a more important subject that was related to globalization, jobs, and getting into college.</w:t>
      </w:r>
    </w:p>
    <w:p w14:paraId="3748D41E" w14:textId="01D47C97" w:rsidR="00A71640" w:rsidRPr="0098127B" w:rsidRDefault="00A71640" w:rsidP="00A7164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 Iraqi Ministry of Education responded to these pressures by starting a phased curriculum reform initiative. This initiative aimed to replace old syllabi with new ones that were more communicative and focused on the learner (Al-Tamimi et al., 2022).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textbook series, which started to be used around 2010, was an important step in this change. These textbooks were made to meet CEFR standards and include parts of CLT (Brock, 2017).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was different from the materials used before 2003 in that it taught skills in a more integrated way, focused more on listening and speaking, and taught vocabulary in a way that made sense in context. The content was arranged by theme, and the activities encouraged students to work in pairs, do role plays, and use language in real-life situations. This was a change from the previous focus on translation and rote grammar drills (Attaby, 2019).</w:t>
      </w:r>
    </w:p>
    <w:p w14:paraId="7FFE5684" w14:textId="2CE2F382" w:rsidR="00A71640" w:rsidRPr="0098127B" w:rsidRDefault="00A71640" w:rsidP="00A7164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Even with these improvements, putting the new ELT curriculum into action has been hard. Teachers trained in the old ways often did not have the pedagogical training they needed to use communicative activities well (Qadir et al., 2023). Professional development for teachers has not been consistent, and classroom resources, like audio equipment for listening activities or access to digital content, are still limited, especially in rural areas (Attaby, 2019). The national examination system also continues to reward grammatical accuracy and written production, which means that the goals of the curriculum and the way </w:t>
      </w:r>
      <w:r w:rsidRPr="0098127B">
        <w:rPr>
          <w:rFonts w:asciiTheme="majorBidi" w:hAnsiTheme="majorBidi" w:cstheme="majorBidi"/>
          <w:sz w:val="24"/>
          <w:szCs w:val="24"/>
        </w:rPr>
        <w:lastRenderedPageBreak/>
        <w:t>students are tested are not lined up (Jubier et al., 2025). Teachers are tired of all the changes because they feel like they have to meet new standards without enough help.</w:t>
      </w:r>
    </w:p>
    <w:p w14:paraId="1EB37413" w14:textId="4F8920CD" w:rsidR="008B67D4" w:rsidRPr="0098127B" w:rsidRDefault="00A71640" w:rsidP="00A7164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Moreover, political fragmentation and security instability have had major effects on how fast and how far educational reforms have gone. In areas affected by conflict, English language instruction has frequently been disrupted or deprioritized (Al-Tamimi et al., 2022).</w:t>
      </w:r>
      <w:r w:rsidR="00482460" w:rsidRPr="0098127B">
        <w:rPr>
          <w:rFonts w:asciiTheme="majorBidi" w:hAnsiTheme="majorBidi" w:cstheme="majorBidi"/>
          <w:sz w:val="24"/>
          <w:szCs w:val="24"/>
        </w:rPr>
        <w:t xml:space="preserve"> </w:t>
      </w:r>
      <w:r w:rsidRPr="0098127B">
        <w:rPr>
          <w:rFonts w:asciiTheme="majorBidi" w:hAnsiTheme="majorBidi" w:cstheme="majorBidi"/>
          <w:sz w:val="24"/>
          <w:szCs w:val="24"/>
        </w:rPr>
        <w:t>There are also differences between regions, with the Kurdistan Region of Iraq (KRI) using different materials and timelines for implementation than federal Iraq (Brock, 2017). But both areas have the same goal of reform: to raise a generation of students who can use English as a global language, not just as a school subject. International partnerships, like those supported by the British Council, have helped spread modern ELT teaching methods even more, but their effects are not the same in every province.</w:t>
      </w:r>
    </w:p>
    <w:p w14:paraId="72E4AADA" w14:textId="5FA52D14"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4</w:t>
      </w:r>
      <w:r w:rsidRPr="0098127B">
        <w:rPr>
          <w:rFonts w:asciiTheme="majorBidi" w:hAnsiTheme="majorBidi" w:cstheme="majorBidi"/>
          <w:b/>
          <w:bCs/>
          <w:sz w:val="24"/>
          <w:szCs w:val="24"/>
        </w:rPr>
        <w:t xml:space="preserve">.2 </w:t>
      </w:r>
      <w:r w:rsidR="008B67D4" w:rsidRPr="0098127B">
        <w:rPr>
          <w:rFonts w:asciiTheme="majorBidi" w:hAnsiTheme="majorBidi" w:cstheme="majorBidi"/>
          <w:b/>
          <w:bCs/>
          <w:sz w:val="24"/>
          <w:szCs w:val="24"/>
        </w:rPr>
        <w:t>R</w:t>
      </w:r>
      <w:r w:rsidRPr="0098127B">
        <w:rPr>
          <w:rFonts w:asciiTheme="majorBidi" w:hAnsiTheme="majorBidi" w:cstheme="majorBidi"/>
          <w:b/>
          <w:bCs/>
          <w:sz w:val="24"/>
          <w:szCs w:val="24"/>
        </w:rPr>
        <w:t xml:space="preserve">ationale </w:t>
      </w:r>
      <w:r w:rsidR="008B67D4" w:rsidRPr="0098127B">
        <w:rPr>
          <w:rFonts w:asciiTheme="majorBidi" w:hAnsiTheme="majorBidi" w:cstheme="majorBidi"/>
          <w:b/>
          <w:bCs/>
          <w:sz w:val="24"/>
          <w:szCs w:val="24"/>
        </w:rPr>
        <w:t>B</w:t>
      </w:r>
      <w:r w:rsidRPr="0098127B">
        <w:rPr>
          <w:rFonts w:asciiTheme="majorBidi" w:hAnsiTheme="majorBidi" w:cstheme="majorBidi"/>
          <w:b/>
          <w:bCs/>
          <w:sz w:val="24"/>
          <w:szCs w:val="24"/>
        </w:rPr>
        <w:t xml:space="preserve">ehind the </w:t>
      </w:r>
      <w:r w:rsidR="00173BF0" w:rsidRPr="0098127B">
        <w:rPr>
          <w:rFonts w:asciiTheme="majorBidi" w:hAnsiTheme="majorBidi" w:cstheme="majorBidi"/>
          <w:b/>
          <w:bCs/>
          <w:sz w:val="24"/>
          <w:szCs w:val="24"/>
        </w:rPr>
        <w:t>English for Iraq</w:t>
      </w:r>
      <w:r w:rsidRPr="0098127B">
        <w:rPr>
          <w:rFonts w:asciiTheme="majorBidi" w:hAnsiTheme="majorBidi" w:cstheme="majorBidi"/>
          <w:b/>
          <w:bCs/>
          <w:sz w:val="24"/>
          <w:szCs w:val="24"/>
        </w:rPr>
        <w:t xml:space="preserve"> </w:t>
      </w:r>
      <w:r w:rsidR="008B67D4" w:rsidRPr="0098127B">
        <w:rPr>
          <w:rFonts w:asciiTheme="majorBidi" w:hAnsiTheme="majorBidi" w:cstheme="majorBidi"/>
          <w:b/>
          <w:bCs/>
          <w:sz w:val="24"/>
          <w:szCs w:val="24"/>
        </w:rPr>
        <w:t>S</w:t>
      </w:r>
      <w:r w:rsidRPr="0098127B">
        <w:rPr>
          <w:rFonts w:asciiTheme="majorBidi" w:hAnsiTheme="majorBidi" w:cstheme="majorBidi"/>
          <w:b/>
          <w:bCs/>
          <w:sz w:val="24"/>
          <w:szCs w:val="24"/>
        </w:rPr>
        <w:t>eries</w:t>
      </w:r>
    </w:p>
    <w:p w14:paraId="6B2881FF" w14:textId="69DEF220" w:rsidR="00533053" w:rsidRPr="0098127B" w:rsidRDefault="00533053"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textbook series was created because Iraq wanted to make its English language curriculum more like what is taught around the world and how people communicate (Obaid et al., 2019). As Iraq transitioned from decades of centralized educational policies and antiquated resources, there was an increasing acknowledgment that the former grammar-translation methodology insufficiently equipped learners for practical communication (Mathi, 2020). The Ministry of Education recognized the necessity to modernize English language instruction in alignment with national development objectives, elevated educational standards, and international involvement (Obaid et al., 2019). In light of this,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was created to be a complete, skills-based curriculum that would help high school students become better at communicating (Obaid et al., 2019).</w:t>
      </w:r>
    </w:p>
    <w:p w14:paraId="0C100947" w14:textId="1B3A8CF5" w:rsidR="00533053" w:rsidRPr="0098127B" w:rsidRDefault="00533053" w:rsidP="0053305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One of the main reasons for this series was to get away from the grammar-heavy, out-of-context textbooks that were used in Iraq for English lessons before (Yaseen, 2020).</w:t>
      </w:r>
      <w:r w:rsidR="00482460" w:rsidRPr="0098127B">
        <w:rPr>
          <w:rFonts w:asciiTheme="majorBidi" w:hAnsiTheme="majorBidi" w:cstheme="majorBidi"/>
          <w:sz w:val="24"/>
          <w:szCs w:val="24"/>
        </w:rPr>
        <w:t xml:space="preserve"> </w:t>
      </w:r>
      <w:r w:rsidRPr="0098127B">
        <w:rPr>
          <w:rFonts w:asciiTheme="majorBidi" w:hAnsiTheme="majorBidi" w:cstheme="majorBidi"/>
          <w:sz w:val="24"/>
          <w:szCs w:val="24"/>
        </w:rPr>
        <w:lastRenderedPageBreak/>
        <w:t>International ELT consultants helped design the new series, and Iraqi educational experts made it more relevant to Iraqi culture (Alrickaby, 2024). The series shows how CLT and Task-Based Language Teaching (TBLT) have affected it by putting the four main language skills</w:t>
      </w:r>
      <w:r w:rsidR="00482460" w:rsidRPr="0098127B">
        <w:rPr>
          <w:rFonts w:asciiTheme="majorBidi" w:hAnsiTheme="majorBidi" w:cstheme="majorBidi"/>
          <w:sz w:val="24"/>
          <w:szCs w:val="24"/>
        </w:rPr>
        <w:t xml:space="preserve">, </w:t>
      </w:r>
      <w:r w:rsidRPr="0098127B">
        <w:rPr>
          <w:rFonts w:asciiTheme="majorBidi" w:hAnsiTheme="majorBidi" w:cstheme="majorBidi"/>
          <w:sz w:val="24"/>
          <w:szCs w:val="24"/>
        </w:rPr>
        <w:t>listening, speaking, reading, and writing</w:t>
      </w:r>
      <w:r w:rsidR="00482460" w:rsidRPr="0098127B">
        <w:rPr>
          <w:rFonts w:asciiTheme="majorBidi" w:hAnsiTheme="majorBidi" w:cstheme="majorBidi"/>
          <w:sz w:val="24"/>
          <w:szCs w:val="24"/>
        </w:rPr>
        <w:t xml:space="preserve">, </w:t>
      </w:r>
      <w:r w:rsidRPr="0098127B">
        <w:rPr>
          <w:rFonts w:asciiTheme="majorBidi" w:hAnsiTheme="majorBidi" w:cstheme="majorBidi"/>
          <w:sz w:val="24"/>
          <w:szCs w:val="24"/>
        </w:rPr>
        <w:t>into meaningful contexts. Additionally, it includes real-life topics, role plays, group projects, and listening comprehension exercises that use audio resources. This is a big change from the old way of learning by rote (Amin, 2017).</w:t>
      </w:r>
    </w:p>
    <w:p w14:paraId="5E40A329" w14:textId="56A46F6D" w:rsidR="00533053" w:rsidRPr="0098127B" w:rsidRDefault="00533053" w:rsidP="0053305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Another important reason for starting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program was to help students become more competitive in the global market and improve their digital skills (Nafashi et al., 2024). The series is designed to help people think critically, express themselves, and learn about other cultures, which are all skills that are becoming more important in a globalized world (Obaid et al., 2019). The textbook also has themes that are important to students' lives, such as technology, health, the environment, and social values, and they are all taught in English that is appropriate for their level (Mathi, 2020). This method is in line with CEFR standards, which lets Iraqi students move up through standardized levels of proficiency over time.</w:t>
      </w:r>
    </w:p>
    <w:p w14:paraId="5A917F2F" w14:textId="0966615A" w:rsidR="008B67D4" w:rsidRPr="0098127B" w:rsidRDefault="00533053" w:rsidP="0053305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Moreover,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is a strategic move to make English education more consistent across regions while also making sure that everyone has equal access to high-quality materials (Yaseen, 2020). The series has been used all over the country, with versions made for both Arabic-speaking areas and the Kurdish Region of Iraq to make sure that everyone can understand and relate to it (Amin, 2017). Teacher training workshops and extra teaching tools have also helped it by making it easier for teachers to teach in the classroom. The success of the series has relied significantly on variables such as teacher preparedness, classroom resources, and systemic support for communicative pedagogy, factors that continue to influence the actual effects of the reform (Alrickaby, 2024).</w:t>
      </w:r>
    </w:p>
    <w:p w14:paraId="497B70C5" w14:textId="6D196C1E"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2.</w:t>
      </w:r>
      <w:r w:rsidR="00B44BB7">
        <w:rPr>
          <w:rFonts w:asciiTheme="majorBidi" w:hAnsiTheme="majorBidi" w:cstheme="majorBidi"/>
          <w:b/>
          <w:bCs/>
          <w:sz w:val="24"/>
          <w:szCs w:val="24"/>
        </w:rPr>
        <w:t>4</w:t>
      </w:r>
      <w:r w:rsidRPr="0098127B">
        <w:rPr>
          <w:rFonts w:asciiTheme="majorBidi" w:hAnsiTheme="majorBidi" w:cstheme="majorBidi"/>
          <w:b/>
          <w:bCs/>
          <w:sz w:val="24"/>
          <w:szCs w:val="24"/>
        </w:rPr>
        <w:t xml:space="preserve">.3 </w:t>
      </w:r>
      <w:r w:rsidR="009077E0" w:rsidRPr="0098127B">
        <w:rPr>
          <w:rFonts w:asciiTheme="majorBidi" w:hAnsiTheme="majorBidi" w:cstheme="majorBidi"/>
          <w:b/>
          <w:bCs/>
          <w:sz w:val="24"/>
          <w:szCs w:val="24"/>
        </w:rPr>
        <w:t>A</w:t>
      </w:r>
      <w:r w:rsidRPr="0098127B">
        <w:rPr>
          <w:rFonts w:asciiTheme="majorBidi" w:hAnsiTheme="majorBidi" w:cstheme="majorBidi"/>
          <w:b/>
          <w:bCs/>
          <w:sz w:val="24"/>
          <w:szCs w:val="24"/>
        </w:rPr>
        <w:t>uthorship</w:t>
      </w:r>
      <w:r w:rsidR="009077E0" w:rsidRPr="0098127B">
        <w:rPr>
          <w:rFonts w:asciiTheme="majorBidi" w:hAnsiTheme="majorBidi" w:cstheme="majorBidi"/>
          <w:b/>
          <w:bCs/>
          <w:sz w:val="24"/>
          <w:szCs w:val="24"/>
        </w:rPr>
        <w:t xml:space="preserve"> of </w:t>
      </w:r>
      <w:r w:rsidR="00173BF0" w:rsidRPr="0098127B">
        <w:rPr>
          <w:rFonts w:asciiTheme="majorBidi" w:hAnsiTheme="majorBidi" w:cstheme="majorBidi"/>
          <w:b/>
          <w:bCs/>
          <w:sz w:val="24"/>
          <w:szCs w:val="24"/>
        </w:rPr>
        <w:t>English for Iraq</w:t>
      </w:r>
      <w:r w:rsidR="009077E0" w:rsidRPr="0098127B">
        <w:rPr>
          <w:rFonts w:asciiTheme="majorBidi" w:hAnsiTheme="majorBidi" w:cstheme="majorBidi"/>
          <w:b/>
          <w:bCs/>
          <w:sz w:val="24"/>
          <w:szCs w:val="24"/>
        </w:rPr>
        <w:t xml:space="preserve"> </w:t>
      </w:r>
      <w:r w:rsidR="00533053" w:rsidRPr="0098127B">
        <w:rPr>
          <w:rFonts w:asciiTheme="majorBidi" w:hAnsiTheme="majorBidi" w:cstheme="majorBidi"/>
          <w:b/>
          <w:bCs/>
          <w:sz w:val="24"/>
          <w:szCs w:val="24"/>
        </w:rPr>
        <w:t>S</w:t>
      </w:r>
      <w:r w:rsidR="009077E0" w:rsidRPr="0098127B">
        <w:rPr>
          <w:rFonts w:asciiTheme="majorBidi" w:hAnsiTheme="majorBidi" w:cstheme="majorBidi"/>
          <w:b/>
          <w:bCs/>
          <w:sz w:val="24"/>
          <w:szCs w:val="24"/>
        </w:rPr>
        <w:t>eries</w:t>
      </w:r>
    </w:p>
    <w:p w14:paraId="500383CC" w14:textId="659AB224" w:rsidR="009D3C24" w:rsidRPr="0098127B" w:rsidRDefault="009D3C24"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was mainly written by a group of international ELT experts, but a lot of work was also done by Iraqi teachers, curriculum developers, and representatives from the Ministry of Education (Beese, 2024). The foreign authorship contributed international pedagogical expertise to the project, especially in the implementation of CLT principles and curriculum development grounded in the CEFR framework (Amin, 2017). These experts had experience creating textbooks for a range of schools, which helped them make a series that was professionally structured and good for teaching. But their job was not to force an outside view; instead, they worked closely with Iraqi stakeholders to make sure the material fit with the social and cultural realities, values, and learning needs of Iraqi students (Beese, 2024). The goal of this collaborative model of authorship was to make sure that the materials met international standards while still being relevant and appropriate for the local context.</w:t>
      </w:r>
    </w:p>
    <w:p w14:paraId="31E412C2" w14:textId="366D9C3F" w:rsidR="009D3C24" w:rsidRPr="0098127B" w:rsidRDefault="009D3C24" w:rsidP="009D3C2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One of the main reasons for creating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was to make the national curriculum more consistent across Iraq's many regions (Altae, 2020). Before this effort, students had different learning experiences because of differences in English language instruction, textbook content in different regions, and old-fashioned teaching methods (Betti, 2021). The Ministry of Education wanted to make English teaching more consistent by giving all secondary schools the same set of standardized textbooks (Fayadh, 2017).</w:t>
      </w:r>
      <w:r w:rsidR="00192442" w:rsidRPr="0098127B">
        <w:rPr>
          <w:rFonts w:asciiTheme="majorBidi" w:hAnsiTheme="majorBidi" w:cstheme="majorBidi"/>
          <w:sz w:val="24"/>
          <w:szCs w:val="24"/>
        </w:rPr>
        <w:t xml:space="preserve"> </w:t>
      </w:r>
      <w:r w:rsidRPr="0098127B">
        <w:rPr>
          <w:rFonts w:asciiTheme="majorBidi" w:hAnsiTheme="majorBidi" w:cstheme="majorBidi"/>
          <w:sz w:val="24"/>
          <w:szCs w:val="24"/>
        </w:rPr>
        <w:t xml:space="preserve">This would make sure that students in all provinces, no matter where they live or how much money they have, would have equal access to structured, progressive, and communicative English language materials (Beese, 2024). In this way,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is not only a teaching tool, but also a way for the government to reduce educational inequality and bring the country together through language education.</w:t>
      </w:r>
    </w:p>
    <w:p w14:paraId="15B07AAA" w14:textId="4E50A58B" w:rsidR="009D3C24" w:rsidRPr="0098127B" w:rsidRDefault="009D3C24" w:rsidP="009D3C2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 xml:space="preserve">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has clear communicative goals in both its structure and its content (Amin, 2017). The series uses a four-skills integrated approach, which means that listening, speaking, reading, and writing tasks are all part of interesting and relevant thematic units. Real-life communication, finishing tasks, interacting with other learners, and using language for specific purposes, like asking for information, sharing opinions, and talking about personal experiences, are all important (Beese, 2024). These features show a strong connection to CLT principles, which put fluency, interaction, and the functional use of language ahead of just grammatical accuracy. In addition, the use of audio recordings, dialogue-based exercises, pair work, and role-play activities supports the goal of encouraging spoken interaction in a setting where traditional teaching was often focused on the teacher and grammar (Altae, 2020).</w:t>
      </w:r>
    </w:p>
    <w:p w14:paraId="52948A2A" w14:textId="75B5912E" w:rsidR="009077E0" w:rsidRPr="0098127B" w:rsidRDefault="009D3C24" w:rsidP="009D3C2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recognizes the significance of cultural sensitivity and educational feasibility, notwithstanding its communicative objectives (Amin, 2017). The communicative activities are structured around themes that align with students' personal experiences and national identity, steering clear of culturally insensitive or excessively foreign material (Alrickaby, 2024). For example, themes like family, school life, nature, and civic duties come up a lot, showing that the curriculum wants to meet global communication standards while still being based on local values.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is a unique example of curriculum localization because it balances modern communication with cultural roots. This is where efforts to standardize and foreign authorship come together with national educational goals and values (Alrickaby, 2024).</w:t>
      </w:r>
    </w:p>
    <w:p w14:paraId="26FC5D0B" w14:textId="09231B33"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4</w:t>
      </w:r>
      <w:r w:rsidRPr="0098127B">
        <w:rPr>
          <w:rFonts w:asciiTheme="majorBidi" w:hAnsiTheme="majorBidi" w:cstheme="majorBidi"/>
          <w:b/>
          <w:bCs/>
          <w:sz w:val="24"/>
          <w:szCs w:val="24"/>
        </w:rPr>
        <w:t xml:space="preserve">.4 </w:t>
      </w:r>
      <w:r w:rsidR="009077E0" w:rsidRPr="0098127B">
        <w:rPr>
          <w:rFonts w:asciiTheme="majorBidi" w:hAnsiTheme="majorBidi" w:cstheme="majorBidi"/>
          <w:b/>
          <w:bCs/>
          <w:sz w:val="24"/>
          <w:szCs w:val="24"/>
        </w:rPr>
        <w:t>E</w:t>
      </w:r>
      <w:r w:rsidRPr="0098127B">
        <w:rPr>
          <w:rFonts w:asciiTheme="majorBidi" w:hAnsiTheme="majorBidi" w:cstheme="majorBidi"/>
          <w:b/>
          <w:bCs/>
          <w:sz w:val="24"/>
          <w:szCs w:val="24"/>
        </w:rPr>
        <w:t xml:space="preserve">valuations </w:t>
      </w:r>
      <w:r w:rsidR="009077E0" w:rsidRPr="0098127B">
        <w:rPr>
          <w:rFonts w:asciiTheme="majorBidi" w:hAnsiTheme="majorBidi" w:cstheme="majorBidi"/>
          <w:b/>
          <w:bCs/>
          <w:sz w:val="24"/>
          <w:szCs w:val="24"/>
        </w:rPr>
        <w:t xml:space="preserve">of </w:t>
      </w:r>
      <w:r w:rsidR="00173BF0" w:rsidRPr="0098127B">
        <w:rPr>
          <w:rFonts w:asciiTheme="majorBidi" w:hAnsiTheme="majorBidi" w:cstheme="majorBidi"/>
          <w:b/>
          <w:bCs/>
          <w:sz w:val="24"/>
          <w:szCs w:val="24"/>
        </w:rPr>
        <w:t>English for Iraq</w:t>
      </w:r>
      <w:r w:rsidR="009077E0" w:rsidRPr="0098127B">
        <w:rPr>
          <w:rFonts w:asciiTheme="majorBidi" w:hAnsiTheme="majorBidi" w:cstheme="majorBidi"/>
          <w:b/>
          <w:bCs/>
          <w:sz w:val="24"/>
          <w:szCs w:val="24"/>
        </w:rPr>
        <w:t xml:space="preserve"> Series</w:t>
      </w:r>
    </w:p>
    <w:p w14:paraId="7D743ADE" w14:textId="4F4B2527" w:rsidR="00482460" w:rsidRPr="0098127B" w:rsidRDefault="00482460"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Several studies examined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textbooks using different evaluation tools and feedback from people who are interested. A study utilizing Litz’s checklist, involving 30 EFL </w:t>
      </w:r>
      <w:r w:rsidRPr="0098127B">
        <w:rPr>
          <w:rFonts w:asciiTheme="majorBidi" w:hAnsiTheme="majorBidi" w:cstheme="majorBidi"/>
          <w:sz w:val="24"/>
          <w:szCs w:val="24"/>
        </w:rPr>
        <w:lastRenderedPageBreak/>
        <w:t xml:space="preserve">teachers and 70 students in Wasit province, revealed that teachers were moderately satisfied with the series, particularly in relation to its alignment with CLT, while students expressed neutral evaluations. People liked the materials because they included real fiction and nonfiction texts and exercises that were based on CLT (Nafashi et al., 2024). </w:t>
      </w:r>
    </w:p>
    <w:p w14:paraId="6F0353DA" w14:textId="526406F8" w:rsidR="00482460" w:rsidRPr="0098127B" w:rsidRDefault="00482460" w:rsidP="0048246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Another internal review of the second intermediate textbook found a number of problems. Researchers said that the book fails to consistently meet national educational goals, fails to arrange itself logically, and does not accurately reflect local cultural contexts. They also pointed out technical problems, such as the font size being too small and the lack of balance between controlled exercises and free practice opportunities (Fayadh, 2017). </w:t>
      </w:r>
    </w:p>
    <w:p w14:paraId="6DB4C01D" w14:textId="0DEB3D08" w:rsidR="00482460" w:rsidRPr="0098127B" w:rsidRDefault="00482460" w:rsidP="0048246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Cultural content has also been investigated. A descriptive analysis indicated that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predominantly highlights aspects of local (Iraqi) culture, specifically "products" and "persons" from the target culture. The study, however, highlighted disparities in cultural representation and advocated for increased diversity in profound cultural dimensions beyond superficial references (Obaid et al., 2019). </w:t>
      </w:r>
    </w:p>
    <w:p w14:paraId="4A3B045B" w14:textId="265F247F" w:rsidR="00482460" w:rsidRPr="0098127B" w:rsidRDefault="00482460" w:rsidP="0048246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 study that looked at the fifth-grade level of the series compared to ACTFL's five Cs (communication, cultures, connections, comparisons, and communities) discovered various results in terms of how well it met international standards.</w:t>
      </w:r>
      <w:r w:rsidR="00192442" w:rsidRPr="0098127B">
        <w:rPr>
          <w:rFonts w:asciiTheme="majorBidi" w:hAnsiTheme="majorBidi" w:cstheme="majorBidi"/>
          <w:sz w:val="24"/>
          <w:szCs w:val="24"/>
        </w:rPr>
        <w:t xml:space="preserve"> </w:t>
      </w:r>
      <w:r w:rsidRPr="0098127B">
        <w:rPr>
          <w:rFonts w:asciiTheme="majorBidi" w:hAnsiTheme="majorBidi" w:cstheme="majorBidi"/>
          <w:sz w:val="24"/>
          <w:szCs w:val="24"/>
        </w:rPr>
        <w:t xml:space="preserve">The material showed cultures and made connections, but it only met the standards for communication, comparisons, and communities at a moderate level. The results indicate partial adherence to international standards (Jasim &amp; Jasim, 2024). </w:t>
      </w:r>
    </w:p>
    <w:p w14:paraId="5522FF95" w14:textId="1DE7FEAE" w:rsidR="00482460" w:rsidRPr="0098127B" w:rsidRDefault="00482460" w:rsidP="0048246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Another quantitative study examined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5 (preparatory level) and found that the textbook is pedagogically sound and mostly meets the needs of students. But it also showed where things could be better, especially when it came to teaching pronunciation and the fact that many schools lacked audio CDs to go along with the lessons. Students' </w:t>
      </w:r>
      <w:r w:rsidRPr="0098127B">
        <w:rPr>
          <w:rFonts w:asciiTheme="majorBidi" w:hAnsiTheme="majorBidi" w:cstheme="majorBidi"/>
          <w:sz w:val="24"/>
          <w:szCs w:val="24"/>
        </w:rPr>
        <w:lastRenderedPageBreak/>
        <w:t>performance on achievement tests was reportedly inadequate, indicating difficulties in implementation (Majeed, 2017).</w:t>
      </w:r>
    </w:p>
    <w:p w14:paraId="367D3FFE" w14:textId="7D956A5F" w:rsidR="009077E0" w:rsidRPr="0098127B" w:rsidRDefault="00482460" w:rsidP="0048246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Finally, a more general criticism points out a significant gap in the literature: there are not enough textbook evaluations in Iraqi ELT settings.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is still the official curriculum in state schools, but there is not much academic focus on reviewing and updating the materials. Researchers want more organized, open, and up-to-date studies to make sure that textbooks change to meet the needs of teachers and students (Qays, 2022).</w:t>
      </w:r>
    </w:p>
    <w:p w14:paraId="3A8A27B8" w14:textId="35DD220F"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5</w:t>
      </w:r>
      <w:r w:rsidRPr="0098127B">
        <w:rPr>
          <w:rFonts w:asciiTheme="majorBidi" w:hAnsiTheme="majorBidi" w:cstheme="majorBidi"/>
          <w:b/>
          <w:bCs/>
          <w:sz w:val="24"/>
          <w:szCs w:val="24"/>
        </w:rPr>
        <w:t xml:space="preserve"> English Curriculum Reform in Iran</w:t>
      </w:r>
    </w:p>
    <w:p w14:paraId="61228493" w14:textId="15B0AA54"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5</w:t>
      </w:r>
      <w:r w:rsidRPr="0098127B">
        <w:rPr>
          <w:rFonts w:asciiTheme="majorBidi" w:hAnsiTheme="majorBidi" w:cstheme="majorBidi"/>
          <w:b/>
          <w:bCs/>
          <w:sz w:val="24"/>
          <w:szCs w:val="24"/>
        </w:rPr>
        <w:t xml:space="preserve">.1 Shift from </w:t>
      </w:r>
      <w:r w:rsidR="00BE4CAE" w:rsidRPr="0098127B">
        <w:rPr>
          <w:rFonts w:asciiTheme="majorBidi" w:hAnsiTheme="majorBidi" w:cstheme="majorBidi"/>
          <w:b/>
          <w:bCs/>
          <w:sz w:val="24"/>
          <w:szCs w:val="24"/>
        </w:rPr>
        <w:t>Grammar Translation to Communicative Approaches</w:t>
      </w:r>
    </w:p>
    <w:p w14:paraId="73A507E5" w14:textId="5121AEF7" w:rsidR="0092699A" w:rsidRPr="0098127B" w:rsidRDefault="0092699A"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The grammar-translation method had long been the most important part of ELT in Iran, focusing on memorization, precise grammar instruction, and written exercises instead of functional communication (Razavipour &amp; Rezagah, 2018). This method put less emphasis on speaking and listening skills, which meant that many of the graduates were very good at memorizing English but not very good at using it in real-life situations. But in the early 2010s, a big change started to happen when the Ministry of Education tried to modernize this old way of teaching and add more communicative, learner-centered methods to the secondary school curriculum (Razavipour &amp; Rezagah, 2018).</w:t>
      </w:r>
    </w:p>
    <w:p w14:paraId="1D2CD55A" w14:textId="5D5D9628" w:rsidR="0092699A" w:rsidRPr="0098127B" w:rsidRDefault="0092699A" w:rsidP="0092699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 Fundamental Reform Document of Education (FRDE) in Iran made CLT the official way to teach English in 2011 (Kardoust &amp; Saeedian, 2021). At the same time, the prospectivist curriculum changes led to the release of two new textbook series: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for junior high school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for high school. These texts put a great emphasis on developing integrated skills like listening, speaking, reading, and writing, and they focused on real-world communication situations. The reform sought to enhance learners' proficiency in using </w:t>
      </w:r>
      <w:r w:rsidRPr="0098127B">
        <w:rPr>
          <w:rFonts w:asciiTheme="majorBidi" w:hAnsiTheme="majorBidi" w:cstheme="majorBidi"/>
          <w:sz w:val="24"/>
          <w:szCs w:val="24"/>
        </w:rPr>
        <w:lastRenderedPageBreak/>
        <w:t>English confidently and effectively, transcending mere grammatical competence (Kardoust &amp; Saeedian, 2021).</w:t>
      </w:r>
    </w:p>
    <w:p w14:paraId="5C01AC98" w14:textId="164B58C3" w:rsidR="0092699A" w:rsidRPr="0098127B" w:rsidRDefault="0092699A" w:rsidP="0092699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Even with these changes in policy, research shows that there is a big difference between what the curriculum says it wants to do and what actually happens in the classroom (Gilakjani et al., 2025). Observational studies of high school English lessons indicate that numerous educators still depend on pre-communicative or grammar-focused methodologies, including rote repetition, drills, and scripted dialogues. Real communicative tasks, such as spontaneous group discussions, role-plays, or interactive speaking exercises, are still uncommon, indicating that the curricular transition has not been fully integrated into classroom instruction (Gilakjani et al., 2025).</w:t>
      </w:r>
    </w:p>
    <w:p w14:paraId="47472753" w14:textId="479DDA22" w:rsidR="0092699A" w:rsidRPr="0098127B" w:rsidRDefault="0092699A" w:rsidP="0092699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There are a number of structural and cultural barriers that have been found to be causing this gap in implementation. Teachers' deep-seated beliefs in traditional methods, inadequate in-service training, and insufficient understanding of CLT principles impede pedagogical transformation (Gilakjani et al., 2025). Moreover, the continuing prevalence of high-stakes university entrance examinations (Konkur), which emphasize isolated grammar and reading comprehension, generates significant washback effects that compel educators to focus on test preparation rather than the communicative objectives of the curriculum (Gilakjani et al., 2025).</w:t>
      </w:r>
    </w:p>
    <w:p w14:paraId="46CA15B2" w14:textId="5446E3DF" w:rsidR="00BE4CAE" w:rsidRPr="0098127B" w:rsidRDefault="0092699A" w:rsidP="0092699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Logistical problems have also made it hard to put reforms into action. Many classrooms lack the right infrastructure to support communicative methods. For example, they do not have enough time for long speaking activities, multimedia resources, or classroom layouts that make it easy for students to work in pairs or groups. Additionally, the rapid rate of transformation within the national system has exceeded the ability for </w:t>
      </w:r>
      <w:r w:rsidRPr="0098127B">
        <w:rPr>
          <w:rFonts w:asciiTheme="majorBidi" w:hAnsiTheme="majorBidi" w:cstheme="majorBidi"/>
          <w:sz w:val="24"/>
          <w:szCs w:val="24"/>
        </w:rPr>
        <w:lastRenderedPageBreak/>
        <w:t>subsequent teacher support and oversight, leading to inconsistent implementation across various regions and schools (Davari &amp; Iranmehr, 2021).</w:t>
      </w:r>
    </w:p>
    <w:p w14:paraId="0444E73A" w14:textId="00BD51F3"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5</w:t>
      </w:r>
      <w:r w:rsidRPr="0098127B">
        <w:rPr>
          <w:rFonts w:asciiTheme="majorBidi" w:hAnsiTheme="majorBidi" w:cstheme="majorBidi"/>
          <w:b/>
          <w:bCs/>
          <w:sz w:val="24"/>
          <w:szCs w:val="24"/>
        </w:rPr>
        <w:t xml:space="preserve">.2 Emergence of Prospect and Vision </w:t>
      </w:r>
      <w:r w:rsidR="00BE4CAE" w:rsidRPr="0098127B">
        <w:rPr>
          <w:rFonts w:asciiTheme="majorBidi" w:hAnsiTheme="majorBidi" w:cstheme="majorBidi"/>
          <w:b/>
          <w:bCs/>
          <w:sz w:val="24"/>
          <w:szCs w:val="24"/>
        </w:rPr>
        <w:t>S</w:t>
      </w:r>
      <w:r w:rsidRPr="0098127B">
        <w:rPr>
          <w:rFonts w:asciiTheme="majorBidi" w:hAnsiTheme="majorBidi" w:cstheme="majorBidi"/>
          <w:b/>
          <w:bCs/>
          <w:sz w:val="24"/>
          <w:szCs w:val="24"/>
        </w:rPr>
        <w:t>eries</w:t>
      </w:r>
    </w:p>
    <w:p w14:paraId="14E04923" w14:textId="63CA18F7" w:rsidR="00E214D3" w:rsidRPr="0098127B" w:rsidRDefault="00E214D3"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Iran made big changes to its ELT curriculum by using 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as the main textbooks for grades 7 through 12. This was in response to long-standing grammar-translation traditions. The Ministry of Education published 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1, 2, and 3) for junior high school in 2013, 2014, and 2015, respectively.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for senior high schools started around 2016 (Ajideh &amp; Panahi, 2016). These series were part of the "English for Schools" program, which marked a deliberate shift toward CLT and away from old-fashioned, teacher-centered methods (Ajideh &amp; Panahi, 2016).</w:t>
      </w:r>
    </w:p>
    <w:p w14:paraId="7B6292E9" w14:textId="3FC1CB0E" w:rsidR="00E214D3" w:rsidRPr="0098127B" w:rsidRDefault="00E214D3" w:rsidP="00E214D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The introduction of these textbook series signified a profound transformation in Iran's ELT curriculum, contrasting with prior materials from before 2012 that prioritized grammar and translation (Gholami Pasand &amp; Ghasemi, 2018). The new series were made to fit with the reformist goals of the Fundamental Reform Document in Education. They were meant to combine listening, speaking, reading, and writing in real, learner-centered thematic units. The objective of this transition was to foster communicative competence, an essential skill for interacting with global contexts, thereby embodying both pedagogical modernization and the reinforcement of national identity (Gholami Pasand &amp; Ghasemi, 2018).</w:t>
      </w:r>
    </w:p>
    <w:p w14:paraId="0FAAF4A0" w14:textId="1E2A07BC" w:rsidR="00E214D3" w:rsidRPr="0098127B" w:rsidRDefault="00E214D3" w:rsidP="00E214D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has been criticized for not fully implementing CLT principles in practice, despite its innovative objectives. Research utilizing a CLT evaluation framework identified shortcomings in cognitive, communicative, and creative capacities (Azimzadeh, 2022). In particular, the textbooks did not include enough real-world examples, strategy lessons, or integrated language skills. Moreover, cultural content was excessively centered on Iranian identity, adversely affecting global awareness and intercultural competence </w:t>
      </w:r>
      <w:r w:rsidRPr="0098127B">
        <w:rPr>
          <w:rFonts w:asciiTheme="majorBidi" w:hAnsiTheme="majorBidi" w:cstheme="majorBidi"/>
          <w:sz w:val="24"/>
          <w:szCs w:val="24"/>
        </w:rPr>
        <w:lastRenderedPageBreak/>
        <w:t>(Azimzadeh, 2022; Goodarzi et al., 2020). These findings indicate that although the series signifies a methodological transition, it continues to confront difficulties in integrating local cultural values with communicative diversity.</w:t>
      </w:r>
    </w:p>
    <w:p w14:paraId="2C775AE5" w14:textId="5C3008A5" w:rsidR="00E214D3" w:rsidRPr="0098127B" w:rsidRDefault="00E214D3" w:rsidP="00E214D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Critical content analyses boost these concerns by emphasizing deficiencies in 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concerning exposure to authentic English usage. The study indicates that the textbooks provide inadequate situational contexts, rely on stereotypical and narrow character portrayals, and fail to adequately address socio-cultural and English as a </w:t>
      </w:r>
      <w:r w:rsidR="002B3276" w:rsidRPr="0098127B">
        <w:rPr>
          <w:rFonts w:asciiTheme="majorBidi" w:hAnsiTheme="majorBidi" w:cstheme="majorBidi"/>
          <w:sz w:val="24"/>
          <w:szCs w:val="24"/>
        </w:rPr>
        <w:t>Lingua Franca (ELF) dynamic</w:t>
      </w:r>
      <w:r w:rsidRPr="0098127B">
        <w:rPr>
          <w:rFonts w:asciiTheme="majorBidi" w:hAnsiTheme="majorBidi" w:cstheme="majorBidi"/>
          <w:sz w:val="24"/>
          <w:szCs w:val="24"/>
        </w:rPr>
        <w:t xml:space="preserve"> (Asakereh et al., 2019). Consequently, notwithstanding the communicative-oriented framework, the materials may inadequately equip students for genuine multilingual interactions.</w:t>
      </w:r>
    </w:p>
    <w:p w14:paraId="79E6C294" w14:textId="305F0C1B" w:rsidR="00E214D3" w:rsidRPr="0098127B" w:rsidRDefault="00E214D3" w:rsidP="00E214D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Teachers' opinions also put a damper on the excitement about the new curriculum. A mixed-method evaluation of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3 revealed significant discontent among English teachers, who condemned its impractical layout, inadequate design, restricted skill integration, and lack of culturally relevant tasks (Asakereh et al., 2019; Jafari et al., 2024). These criticisms highlight the necessity of synchronizing pedagogical objectives with user experience and contextual significance.</w:t>
      </w:r>
    </w:p>
    <w:p w14:paraId="7BA65891" w14:textId="59C5ED68" w:rsidR="00E214D3" w:rsidRDefault="00E214D3" w:rsidP="00E214D3">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Even though there were some criticisms, it is important to remember that 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also brought about some new structural changes. These textbooks were different from those of previous generations because they came with not only student books but also workbooks, teacher's guides, audio recordings, video supplements, and online resources. This made them more complete and helpful for both students and teachers (Gholami Pasand &amp; Ghasemi, 2018). These improvements show that the infrastructure is getting better, even though the content is still being worked on.</w:t>
      </w:r>
    </w:p>
    <w:p w14:paraId="19319463" w14:textId="77777777" w:rsidR="00B44BB7" w:rsidRPr="0098127B" w:rsidRDefault="00B44BB7" w:rsidP="00E214D3">
      <w:pPr>
        <w:spacing w:line="480" w:lineRule="auto"/>
        <w:ind w:firstLine="720"/>
        <w:rPr>
          <w:rFonts w:asciiTheme="majorBidi" w:hAnsiTheme="majorBidi" w:cstheme="majorBidi"/>
          <w:sz w:val="24"/>
          <w:szCs w:val="24"/>
        </w:rPr>
      </w:pPr>
    </w:p>
    <w:p w14:paraId="62675E28" w14:textId="0C093F16" w:rsidR="00B4266B" w:rsidRPr="0098127B" w:rsidRDefault="00B4266B" w:rsidP="00B4266B">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2.</w:t>
      </w:r>
      <w:r w:rsidR="00B44BB7">
        <w:rPr>
          <w:rFonts w:asciiTheme="majorBidi" w:hAnsiTheme="majorBidi" w:cstheme="majorBidi"/>
          <w:b/>
          <w:bCs/>
          <w:sz w:val="24"/>
          <w:szCs w:val="24"/>
        </w:rPr>
        <w:t>5</w:t>
      </w:r>
      <w:r w:rsidRPr="0098127B">
        <w:rPr>
          <w:rFonts w:asciiTheme="majorBidi" w:hAnsiTheme="majorBidi" w:cstheme="majorBidi"/>
          <w:b/>
          <w:bCs/>
          <w:sz w:val="24"/>
          <w:szCs w:val="24"/>
        </w:rPr>
        <w:t xml:space="preserve">.3 Cultural and </w:t>
      </w:r>
      <w:r w:rsidR="00BE4CAE" w:rsidRPr="0098127B">
        <w:rPr>
          <w:rFonts w:asciiTheme="majorBidi" w:hAnsiTheme="majorBidi" w:cstheme="majorBidi"/>
          <w:b/>
          <w:bCs/>
          <w:sz w:val="24"/>
          <w:szCs w:val="24"/>
        </w:rPr>
        <w:t xml:space="preserve">Religious Considerations </w:t>
      </w:r>
      <w:r w:rsidRPr="0098127B">
        <w:rPr>
          <w:rFonts w:asciiTheme="majorBidi" w:hAnsiTheme="majorBidi" w:cstheme="majorBidi"/>
          <w:b/>
          <w:bCs/>
          <w:sz w:val="24"/>
          <w:szCs w:val="24"/>
        </w:rPr>
        <w:t xml:space="preserve">in </w:t>
      </w:r>
      <w:r w:rsidR="00BE4CAE" w:rsidRPr="0098127B">
        <w:rPr>
          <w:rFonts w:asciiTheme="majorBidi" w:hAnsiTheme="majorBidi" w:cstheme="majorBidi"/>
          <w:b/>
          <w:bCs/>
          <w:sz w:val="24"/>
          <w:szCs w:val="24"/>
        </w:rPr>
        <w:t>Textbook</w:t>
      </w:r>
    </w:p>
    <w:p w14:paraId="29AB1435" w14:textId="0A54940B" w:rsidR="00E667A4" w:rsidRPr="0098127B" w:rsidRDefault="00E667A4"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Cultural and religious sensitivities have a big impact on textbook development in the Middle East. Textbooks are often used for more than just teaching; they are also used to build ideologies and identities (Ajideh &amp; Panahi, 2016; Soodmand et al., 2018). In societies where religion is deeply integrated into national identity and everyday life, English language textbooks, frequently regarded as vessels of foreign cultural values, are meticulously curated to ensure conformity with Islamic principles and local customs. Developers must strike a careful balance between updating English teaching and not using materials that could be seen as supporting Western secular or liberal ideas (Soodmand et al., 2018). This tension impacts content selections, including topics, images, character names, and dialogue scenarios, resulting in the omission of culturally sensitive themes such as dating, alcohol, gender mixing, or non-Islamic religious references.</w:t>
      </w:r>
    </w:p>
    <w:p w14:paraId="23330C8C" w14:textId="380DFA47" w:rsidR="00E667A4" w:rsidRPr="0098127B" w:rsidRDefault="00E667A4" w:rsidP="00E667A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 representation of gender roles and dress codes is a major concern in many Middle Eastern countries, such as Iraq and Iran. Illustrations frequently depict female figures in Islamic clothing, and gender interactions are confined to culturally accepted norms (Mozaheb et al., 2025). Moreover, family structures are often depicted through conventional perspectives, highlighting reverence for elders, familial cohesion, and compliance. These representations are not solely aesthetic; they serve to reinforce the cultural values promoted by state and religious authorities (Mozaheb et al., 2025). For instance, research on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indicates a significant preference for culturally filtered content that emphasizes Islamic identity, national pride, and moral values, occasionally compromising intercultural awareness or global citizenship perspectives (Ghalibafan et al., 2025).</w:t>
      </w:r>
    </w:p>
    <w:p w14:paraId="787521C9" w14:textId="58C40068" w:rsidR="00E667A4" w:rsidRPr="0098127B" w:rsidRDefault="00E667A4" w:rsidP="00E667A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Religious beliefs also affect the moral and ethical messages that are built into English textbooks. In countries like Iran and Iraq, where Islamic values shape government policies, textbooks often focus on virtues like honesty, humility, respect, and self-discipline that are in line with religious teachings (Ajideh &amp; Panahi, 2016). This focus is seen in short stories, reading passages, and characters who act in ways that are in line with Islamic virtues (Soodmand et al., 2018). For instance, cooperation, charity, and hard work in school are not only seen as academic goals, but also as moral duties. In this way, learning English becomes a way to teach both language and morals, reinforcing what is important to the community both socially and spiritually.</w:t>
      </w:r>
    </w:p>
    <w:p w14:paraId="409E0E6F" w14:textId="70AB6D0A" w:rsidR="00E667A4" w:rsidRPr="0098127B" w:rsidRDefault="00E667A4" w:rsidP="00E667A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Critics contend that attempts to synchronize language instruction with cultural and religious norms may restrict students' exposure to global perspectives, thereby diminishing their readiness for real-world intercultural communication (Batch et al., 2015). Scholars assert that the lack of diversity, especially regarding ethnicity, religious plurality, and international customs, results in a linguistic bubble that could impede learners' pragmatic competence (Fuchs, 2012). In the age of globalization, this is especially bad because English is often used as a common language between people from different cultures. Focusing too much on preserving culture in textbooks may go against the goals of ELT.</w:t>
      </w:r>
    </w:p>
    <w:p w14:paraId="7234F09B" w14:textId="6BBAAD03" w:rsidR="00BE4CAE" w:rsidRPr="0098127B" w:rsidRDefault="00E667A4" w:rsidP="00E667A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Censorship and content control mechanisms also make the process of developing textbooks more difficult (Weninger &amp; Lim, 2025). In places like Iran, the ministries of education control what goes into textbooks very closely, with many levels of approval to make sure that everyone agrees with the ideas. Textbooks written by people from other countries are rarely used without changes, and even books made in the United States, like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are carefully checked (Weninger &amp; Lim, 2025). The outcome frequently manifests as a conservative modification of CLT principles, wherein communicative tasks are integrated into ideologically secure contexts. This has an impact on the authenticity of tasks </w:t>
      </w:r>
      <w:r w:rsidRPr="0098127B">
        <w:rPr>
          <w:rFonts w:asciiTheme="majorBidi" w:hAnsiTheme="majorBidi" w:cstheme="majorBidi"/>
          <w:sz w:val="24"/>
          <w:szCs w:val="24"/>
        </w:rPr>
        <w:lastRenderedPageBreak/>
        <w:t>and might make it harder for students to get involved in situations where they have to use real language.</w:t>
      </w:r>
    </w:p>
    <w:p w14:paraId="32940650" w14:textId="5A66258C" w:rsidR="00B4266B" w:rsidRPr="0098127B" w:rsidRDefault="00B4266B" w:rsidP="00BE4C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5</w:t>
      </w:r>
      <w:r w:rsidRPr="0098127B">
        <w:rPr>
          <w:rFonts w:asciiTheme="majorBidi" w:hAnsiTheme="majorBidi" w:cstheme="majorBidi"/>
          <w:b/>
          <w:bCs/>
          <w:sz w:val="24"/>
          <w:szCs w:val="24"/>
        </w:rPr>
        <w:t xml:space="preserve">.4 Role of </w:t>
      </w:r>
      <w:r w:rsidR="00BE4CAE" w:rsidRPr="0098127B">
        <w:rPr>
          <w:rFonts w:asciiTheme="majorBidi" w:hAnsiTheme="majorBidi" w:cstheme="majorBidi"/>
          <w:b/>
          <w:bCs/>
          <w:sz w:val="24"/>
          <w:szCs w:val="24"/>
        </w:rPr>
        <w:t xml:space="preserve">Local Authorship </w:t>
      </w:r>
      <w:r w:rsidRPr="0098127B">
        <w:rPr>
          <w:rFonts w:asciiTheme="majorBidi" w:hAnsiTheme="majorBidi" w:cstheme="majorBidi"/>
          <w:b/>
          <w:bCs/>
          <w:sz w:val="24"/>
          <w:szCs w:val="24"/>
        </w:rPr>
        <w:t xml:space="preserve">in </w:t>
      </w:r>
      <w:r w:rsidR="00BE4CAE" w:rsidRPr="0098127B">
        <w:rPr>
          <w:rFonts w:asciiTheme="majorBidi" w:hAnsiTheme="majorBidi" w:cstheme="majorBidi"/>
          <w:b/>
          <w:bCs/>
          <w:sz w:val="24"/>
          <w:szCs w:val="24"/>
        </w:rPr>
        <w:t>Textbooks</w:t>
      </w:r>
    </w:p>
    <w:p w14:paraId="4EC41581" w14:textId="65246FEC" w:rsidR="000A4765" w:rsidRPr="0098127B" w:rsidRDefault="000A4765"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launch of 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(grades 7–9)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(grades 10–12) textbook series in Iran was a turning point in the country's English language curriculum reform, especially when it came to local authorship and national alignment (Asadi et al., 2016). These series were created by Iranian scholars and teachers with the help of the Ministry of Education. This is different from the past, when textbooks were mostly written by people from other countries or were heavily influenced by Western ideas (Asadi et al., 2016). This localized authorship was not merely a logistical decision but a deliberate ideological stance aimed at fostering educational sovereignty and ensuring that the content aligns with Iran’s socio-political values, Islamic worldview, and cultural heritage. Iran aimed to regain control over the messages, themes, and teaching methods used in language learning by making textbooks written by people who understood the country's and religion's priorities in a more nuanced way (Kheirabadi &amp; Alavimoghaddam, 2016).</w:t>
      </w:r>
    </w:p>
    <w:p w14:paraId="5379CFED" w14:textId="49F0BAEE" w:rsidR="000A4765"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 significant result of this local authorship is the integration of national identity throughout the textbooks. The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carefully picks topics that are relevant to Iranian students' lives and values. Some of these topics are family unity, hospitality, national achievements, scientific innovation, and religious holidays like Nowruz or Ramadan (Williams, 2016). Lessons frequently emphasize Iranian historical figures, cultural symbols, or domestic social roles, subtly reinforcing patriotic sentiments while instructing in English. This is different from textbooks that are more global or Westernized and include foreign names, holidays, and lifestyles based on consumerism that may not fit with Islamic and Iranian values (Asadi et al., 2016). The curriculum promotes language </w:t>
      </w:r>
      <w:r w:rsidRPr="0098127B">
        <w:rPr>
          <w:rFonts w:asciiTheme="majorBidi" w:hAnsiTheme="majorBidi" w:cstheme="majorBidi"/>
          <w:sz w:val="24"/>
          <w:szCs w:val="24"/>
        </w:rPr>
        <w:lastRenderedPageBreak/>
        <w:t>acquisition by grounding English learning in familiar cultural references, thereby preventing cultural alienation.</w:t>
      </w:r>
    </w:p>
    <w:p w14:paraId="032A9DAE" w14:textId="1D026434" w:rsidR="000A4765"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Local authorship also plays a role in teaching methods that are similar to how schools work in Iran.  The textbooks assert a communicative approach; however, their interpretation of CLT is influenced by local norms and constraints (Kheirabadi &amp; Alavimoghaddam, 2016).  For example, interactive pair work or open classroom debate, which are common in Western CLT, are changed to fit the size of the classrooms, the level of training for teachers, and the social norms about how students should act in Iran. Textbook activities, while communicative in nature, frequently emphasize structured dialogue and regulated output, enabling educators and students to uphold academic discipline while striving for enhanced learner engagement (Kheirabadi &amp; Alavimoghaddam, 2016). This localized pedagogical design facilitates the seamless integration of contemporary English Language Teaching strategies within a conventional classroom culture.</w:t>
      </w:r>
    </w:p>
    <w:p w14:paraId="14EFC2E0" w14:textId="4DCD7A03" w:rsidR="000A4765"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Also, religious alignment is a key part of the local authorship agenda. Lessons often encompass moral guidance or ethically focused discussions that align with Islamic principles (Tafazoli &amp; Egan, 2022). Scenarios that include mixed-gender interactions, controversial media topics, or liberal Western values are usually left out or changed a lot. Instead, the textbooks teach values like modesty, respect, hard work, and responsibility, which are similar to Islamic moral codes and national policy (Tafazoli &amp; Egan, 2022). The local authors make sure that the textbooks not only teach English but also help students learn about character and morals in an Islamic manner.</w:t>
      </w:r>
    </w:p>
    <w:p w14:paraId="093F0130" w14:textId="3AF52D0B" w:rsidR="00BE4CAE"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 authors' insider perspective also enables more contextualized linguistic input, incorporating controlled vocabulary and grammar sequencing tailored to the linguistic backgrounds and learning pace of Iranian students (Sahraee Juybari &amp; Bozorgian, 2020). </w:t>
      </w:r>
      <w:r w:rsidRPr="0098127B">
        <w:rPr>
          <w:rFonts w:asciiTheme="majorBidi" w:hAnsiTheme="majorBidi" w:cstheme="majorBidi"/>
          <w:sz w:val="24"/>
          <w:szCs w:val="24"/>
        </w:rPr>
        <w:lastRenderedPageBreak/>
        <w:t xml:space="preserve">Global textbooks may presume access to immersive environments; however, </w:t>
      </w:r>
      <w:r w:rsidR="00173BF0"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offer incremental exposure to language structures, incorporating translanguaging strategies, such as sporadic L1 references, as suitable (Sahraee Juybari &amp; Bozorgian, 2020). This adaptive scaffolding shows that the textbook designers know what the local learners need, what they can and cannot do, and what motivates them. This makes the textbooks more useful and easier to use than imported models that fail to suit everyone.</w:t>
      </w:r>
    </w:p>
    <w:p w14:paraId="73C30679" w14:textId="7BC0E66F" w:rsidR="00B4266B" w:rsidRPr="0098127B" w:rsidRDefault="00B4266B" w:rsidP="00412959">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5</w:t>
      </w:r>
      <w:r w:rsidRPr="0098127B">
        <w:rPr>
          <w:rFonts w:asciiTheme="majorBidi" w:hAnsiTheme="majorBidi" w:cstheme="majorBidi"/>
          <w:b/>
          <w:bCs/>
          <w:sz w:val="24"/>
          <w:szCs w:val="24"/>
        </w:rPr>
        <w:t xml:space="preserve">.5 Evaluations of the Vision </w:t>
      </w:r>
      <w:r w:rsidR="00BE4CAE" w:rsidRPr="0098127B">
        <w:rPr>
          <w:rFonts w:asciiTheme="majorBidi" w:hAnsiTheme="majorBidi" w:cstheme="majorBidi"/>
          <w:b/>
          <w:bCs/>
          <w:sz w:val="24"/>
          <w:szCs w:val="24"/>
        </w:rPr>
        <w:t>S</w:t>
      </w:r>
      <w:r w:rsidRPr="0098127B">
        <w:rPr>
          <w:rFonts w:asciiTheme="majorBidi" w:hAnsiTheme="majorBidi" w:cstheme="majorBidi"/>
          <w:b/>
          <w:bCs/>
          <w:sz w:val="24"/>
          <w:szCs w:val="24"/>
        </w:rPr>
        <w:t>eries</w:t>
      </w:r>
    </w:p>
    <w:p w14:paraId="6E9A436B" w14:textId="1F21D581" w:rsidR="000A4765" w:rsidRPr="0098127B" w:rsidRDefault="000A4765"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Iranian scholars have analyzed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to assess its alignment with the objectives established by the national curriculum, especially the emphasis on communicative competence and the functional application of English. Anonby et al. (2017) said that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1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2 try to teach interactional language through structured dialogues and pair-work activities. Nevertheless, despite the superficial adoption of CLT principles, researchers identified that numerous activities continue to depend on controlled, form-focused drills instead of open-ended communication (Anonby et al., 2017). Critics say that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only partially lives up to its promise to help people communicate because there is a gap between the curriculum policy and how it is actually used</w:t>
      </w:r>
      <w:r w:rsidR="00B53511" w:rsidRPr="0098127B">
        <w:rPr>
          <w:rFonts w:asciiTheme="majorBidi" w:hAnsiTheme="majorBidi" w:cstheme="majorBidi"/>
          <w:sz w:val="24"/>
          <w:szCs w:val="24"/>
        </w:rPr>
        <w:t xml:space="preserve"> (Kiany et al., 2013)</w:t>
      </w:r>
      <w:r w:rsidRPr="0098127B">
        <w:rPr>
          <w:rFonts w:asciiTheme="majorBidi" w:hAnsiTheme="majorBidi" w:cstheme="majorBidi"/>
          <w:sz w:val="24"/>
          <w:szCs w:val="24"/>
        </w:rPr>
        <w:t>.</w:t>
      </w:r>
    </w:p>
    <w:p w14:paraId="2F194879" w14:textId="670DF26F" w:rsidR="000A4765"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 number of Iranian scholars have commended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for its integration of culturally authentic content that embodies Iranian values, norms, and national identity. Research conducted by Riazi and Mosallanejad (2010) indicated that textbooks deliberately exclude cultural content that might contradict Islamic values, favoring scenarios based on local festivals, familial structures, and national accomplishments. But some people have criticized this alignment with Iranian identity because it fails to introduce people to other cultures around the world. Critics contend that English, as a global lingua franca, requires </w:t>
      </w:r>
      <w:r w:rsidRPr="0098127B">
        <w:rPr>
          <w:rFonts w:asciiTheme="majorBidi" w:hAnsiTheme="majorBidi" w:cstheme="majorBidi"/>
          <w:sz w:val="24"/>
          <w:szCs w:val="24"/>
        </w:rPr>
        <w:lastRenderedPageBreak/>
        <w:t xml:space="preserve">interaction with diverse cultural contexts, and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may be constraining learners' intercultural competence by concentrating excessively on Iranian culture.</w:t>
      </w:r>
    </w:p>
    <w:p w14:paraId="77FE134F" w14:textId="1BFBA655" w:rsidR="000A4765"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Another important thing to look at is how well the four main language skills work together. Researchers like Zand-Moghadam et al. (2018) point out that even though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books cover all four skills of reading, writing, listening, and speaking, the focus is still mostly on reading and vocabulary growth. Listening sections are frequently inadequately developed or dependent on artificial audio scripts, while writing tasks tend to be mechanical, devoid of process-oriented instruction. Researchers contend that this imbalance signifies a perpetuation of conventional grammar-translation methodologies under a novel guise, thereby compromising the series' efficacy in cultivating comprehensive communicative competence.</w:t>
      </w:r>
    </w:p>
    <w:p w14:paraId="6937B73B" w14:textId="556B5869" w:rsidR="000A4765"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Numerous Iranian studies underscore that, despite the inclusion of communicative elements in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textbooks, their efficacy is dependent on teacher preparedness. A study conducted by Kiany et al. (2013) indicated that a considerable number of English teachers in Iran lack sufficient training in communicative pedagogy. Even modern textbook designs are often delivered in traditional, teacher-centered formats as a result. Some scholars contend that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may be "ahead of its time" regarding implementation, considering the present circumstances of teacher proficiency and classroom limitations within Iran's varied educational landscape.</w:t>
      </w:r>
    </w:p>
    <w:p w14:paraId="2C05DB34" w14:textId="11F431BA" w:rsidR="00412959" w:rsidRPr="0098127B" w:rsidRDefault="000A4765" w:rsidP="000A476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Empirical studies have examined students' perceptions of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Ahmadi and Derakhshan (2019) conducted surveys and classroom observations indicating that while certain learners perceived the content as relatable and the layout as conducive to student engagement, others experienced diminished engagement attributed to insufficient interactive materials, limited exposure to authentic English usage, and repetitive tasks. Some researchers have suggested extra materials or digital upgrades that can make up for the fact that print </w:t>
      </w:r>
      <w:r w:rsidRPr="0098127B">
        <w:rPr>
          <w:rFonts w:asciiTheme="majorBidi" w:hAnsiTheme="majorBidi" w:cstheme="majorBidi"/>
          <w:sz w:val="24"/>
          <w:szCs w:val="24"/>
        </w:rPr>
        <w:lastRenderedPageBreak/>
        <w:t xml:space="preserve">textbooks do not change. These results indicate that the motivational efficacy of the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fluctuates considerably based on local implementation contexts.</w:t>
      </w:r>
    </w:p>
    <w:p w14:paraId="6BB1A105" w14:textId="0AFF681A" w:rsidR="00B4266B" w:rsidRPr="0098127B" w:rsidRDefault="00B4266B" w:rsidP="00412959">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6</w:t>
      </w:r>
      <w:r w:rsidRPr="0098127B">
        <w:rPr>
          <w:rFonts w:asciiTheme="majorBidi" w:hAnsiTheme="majorBidi" w:cstheme="majorBidi"/>
          <w:b/>
          <w:bCs/>
          <w:sz w:val="24"/>
          <w:szCs w:val="24"/>
        </w:rPr>
        <w:t xml:space="preserve"> Role of Textbooks in English Language Teaching</w:t>
      </w:r>
    </w:p>
    <w:p w14:paraId="187B403E" w14:textId="30FE3092" w:rsidR="00B4266B" w:rsidRPr="0098127B" w:rsidRDefault="00B4266B" w:rsidP="00A30B13">
      <w:pPr>
        <w:spacing w:line="480" w:lineRule="auto"/>
        <w:rPr>
          <w:rFonts w:asciiTheme="majorBidi" w:hAnsiTheme="majorBidi" w:cstheme="majorBidi"/>
          <w:b/>
          <w:bCs/>
          <w:i/>
          <w:iCs/>
          <w:sz w:val="24"/>
          <w:szCs w:val="24"/>
        </w:rPr>
      </w:pPr>
      <w:r w:rsidRPr="0098127B">
        <w:rPr>
          <w:rFonts w:asciiTheme="majorBidi" w:hAnsiTheme="majorBidi" w:cstheme="majorBidi"/>
          <w:b/>
          <w:bCs/>
          <w:i/>
          <w:iCs/>
          <w:sz w:val="24"/>
          <w:szCs w:val="24"/>
        </w:rPr>
        <w:t>2.</w:t>
      </w:r>
      <w:r w:rsidR="00B44BB7">
        <w:rPr>
          <w:rFonts w:asciiTheme="majorBidi" w:hAnsiTheme="majorBidi" w:cstheme="majorBidi"/>
          <w:b/>
          <w:bCs/>
          <w:i/>
          <w:iCs/>
          <w:sz w:val="24"/>
          <w:szCs w:val="24"/>
        </w:rPr>
        <w:t>6</w:t>
      </w:r>
      <w:r w:rsidRPr="0098127B">
        <w:rPr>
          <w:rFonts w:asciiTheme="majorBidi" w:hAnsiTheme="majorBidi" w:cstheme="majorBidi"/>
          <w:b/>
          <w:bCs/>
          <w:i/>
          <w:iCs/>
          <w:sz w:val="24"/>
          <w:szCs w:val="24"/>
        </w:rPr>
        <w:t xml:space="preserve">.1 Textbooks as </w:t>
      </w:r>
      <w:r w:rsidR="00A30B13" w:rsidRPr="0098127B">
        <w:rPr>
          <w:rFonts w:asciiTheme="majorBidi" w:hAnsiTheme="majorBidi" w:cstheme="majorBidi"/>
          <w:b/>
          <w:bCs/>
          <w:i/>
          <w:iCs/>
          <w:sz w:val="24"/>
          <w:szCs w:val="24"/>
        </w:rPr>
        <w:t>Curriculum Artifacts</w:t>
      </w:r>
    </w:p>
    <w:p w14:paraId="35811B15" w14:textId="3272FDFB" w:rsidR="003651DA" w:rsidRPr="0098127B" w:rsidRDefault="003651DA"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Textbooks are not just tools for teaching; they are also physical representations of curriculum policy and teaching philosophy (Canale, 2019). Textbooks are curriculum artifacts that show how people decide what knowledge is important, what language skills should come first, and how learning should be structured. In centralized education systems such as Iraq and Iran, where national ministries manage the production and distribution of textbooks, these materials function as the principal link between policy objectives and classroom realities (Glasnović Gracin &amp; Jukić Matić, 2021). They encode the official syllabus and give teachers a clear way to understand the national learning goals (Remillard &amp; Kim, 2020). This makes them very good at getting across the most important parts of the curriculum, especially when teachers don't have much freedom or access to extra resources.</w:t>
      </w:r>
    </w:p>
    <w:p w14:paraId="34F8C182" w14:textId="785C87C1" w:rsidR="003651DA" w:rsidRPr="0098127B" w:rsidRDefault="003651DA" w:rsidP="003651D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Textbooks frequently serve as the de facto curriculum, particularly in areas where teacher training, instructional support, and materials development are inadequate (Nizamani &amp; Shah, 2024). Apple (1992) contended that the formal curriculum (what is prescribed) frequently differs from the enacted curriculum, with the textbook often serving as the primary instructional material. In Middle Eastern educational systems, the predominance of state-produced textbooks frequently results in the textbook serving as the curriculum (Remillard &amp; Kim, 2020). Teachers use textbooks to plan lessons, teach, and grade students, especially when national tests are closely related to what is in the books.  </w:t>
      </w:r>
    </w:p>
    <w:p w14:paraId="462459A4" w14:textId="2551367B" w:rsidR="003651DA" w:rsidRPr="0098127B" w:rsidRDefault="003651DA" w:rsidP="003651D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Textbooks also have ideological and political importance because they include national values, social norms, and political stories in the curriculum (Canale, 2019). This is </w:t>
      </w:r>
      <w:r w:rsidRPr="0098127B">
        <w:rPr>
          <w:rFonts w:asciiTheme="majorBidi" w:hAnsiTheme="majorBidi" w:cstheme="majorBidi"/>
          <w:sz w:val="24"/>
          <w:szCs w:val="24"/>
        </w:rPr>
        <w:lastRenderedPageBreak/>
        <w:t>especially true in places where politics are sensitive or where nations are trying to build themselves, like Iraq after 2003 and Iran after the revolution. In these cases, the content of textbooks is carefully chosen to reflect the dominant ideology, national identity, and religious values (Nizamani &amp; Shah, 2024). So, textbooks not only help people learn how to use language, but they also help people learn about other cultures and make friends. Because they are "official" documents, they have legitimacy and authority, which can both stabilize and limit teaching methods.</w:t>
      </w:r>
    </w:p>
    <w:p w14:paraId="7B8FB201" w14:textId="054A4FEF" w:rsidR="003651DA" w:rsidRPr="0098127B" w:rsidRDefault="003651DA" w:rsidP="003651D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Textbooks often determine what is taught in the classroom, but teachers are the ones who actually use them. Their beliefs, training, and the realities of the classroom affect how they are used (Nizamani &amp; Shah, 2024). But in places where inspections are strict or tests are high-stakes, teachers may feel like they have to stick to the books, which makes it hard for them to change or come up with new ideas. In these instances, the textbook's function as a curriculum artifact becomes increasingly inflexible and prescriptive (Glasnović Gracin &amp; Jukić Matić, 2021). Researchers have also found that teachers who are new to the field are more likely to rely on textbooks without thinking critically about them (Canale, 2019). This reinforces the idea that textbooks are the main source of information instead of a flexible resource.</w:t>
      </w:r>
    </w:p>
    <w:p w14:paraId="52ACD0DD" w14:textId="0C6FC8DD" w:rsidR="003651DA" w:rsidRPr="0098127B" w:rsidRDefault="003651DA" w:rsidP="003651D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Textbooks are a big part of how lessons are taught, so evaluating them is an important part of educational reform (Canale, 2019). To evaluate them, we need to look at more than just the language and teaching style. We also need to see how well they meet the goals of the curriculum, give teachers freedom, and meet the needs of the students. This is especially important when countries change the way they teach, like when they switch from grammar-translation to communicative language teaching. Textbooks can help or hurt these changes. Textbooks that are inconsistent with new ways of teaching or lack the right scaffolding can </w:t>
      </w:r>
      <w:r w:rsidRPr="0098127B">
        <w:rPr>
          <w:rFonts w:asciiTheme="majorBidi" w:hAnsiTheme="majorBidi" w:cstheme="majorBidi"/>
          <w:sz w:val="24"/>
          <w:szCs w:val="24"/>
        </w:rPr>
        <w:lastRenderedPageBreak/>
        <w:t>unintentionally keep old ways of teaching going, even if the official curriculum changes (Nizamani &amp; Shah, 2024).</w:t>
      </w:r>
    </w:p>
    <w:p w14:paraId="79760FCA" w14:textId="71A1BA35" w:rsidR="00A30B13" w:rsidRPr="0098127B" w:rsidRDefault="003651DA" w:rsidP="003651DA">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When looking at textbooks from different countries, like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Iran's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we can see how each one reflects its own social, political, educational, and language priorities (Glasnović Gracin &amp; Jukić Matić, 2021). These texts are different not only in what they say but also in how they are designed, how they represent different cultures, and how they think about language. But in both cases, their function as curriculum artifacts stays the same. In centralized education systems, textbooks are the main tools used to put educational reform into action and keep an eye on it. This makes them essential for comparative curriculum research (Remillard &amp; Kim, 2020).</w:t>
      </w:r>
      <w:r w:rsidR="00026DC4" w:rsidRPr="0098127B">
        <w:rPr>
          <w:rFonts w:asciiTheme="majorBidi" w:hAnsiTheme="majorBidi" w:cstheme="majorBidi"/>
          <w:sz w:val="24"/>
          <w:szCs w:val="24"/>
        </w:rPr>
        <w:t xml:space="preserve"> </w:t>
      </w:r>
      <w:r w:rsidRPr="0098127B">
        <w:rPr>
          <w:rFonts w:asciiTheme="majorBidi" w:hAnsiTheme="majorBidi" w:cstheme="majorBidi"/>
          <w:sz w:val="24"/>
          <w:szCs w:val="24"/>
        </w:rPr>
        <w:t>Consequently, comprehending textbooks as both artifacts and de facto curricula facilitates a more profound analysis of the practical implementation of language education (Canale, 2019).</w:t>
      </w:r>
    </w:p>
    <w:p w14:paraId="4B5C5514" w14:textId="0F29C564" w:rsidR="00B4266B" w:rsidRPr="0098127B" w:rsidRDefault="00B4266B" w:rsidP="00A30B13">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6</w:t>
      </w:r>
      <w:r w:rsidRPr="0098127B">
        <w:rPr>
          <w:rFonts w:asciiTheme="majorBidi" w:hAnsiTheme="majorBidi" w:cstheme="majorBidi"/>
          <w:b/>
          <w:bCs/>
          <w:sz w:val="24"/>
          <w:szCs w:val="24"/>
        </w:rPr>
        <w:t xml:space="preserve">.2 </w:t>
      </w:r>
      <w:r w:rsidR="00A30B13" w:rsidRPr="0098127B">
        <w:rPr>
          <w:rFonts w:asciiTheme="majorBidi" w:hAnsiTheme="majorBidi" w:cstheme="majorBidi"/>
          <w:b/>
          <w:bCs/>
          <w:sz w:val="24"/>
          <w:szCs w:val="24"/>
        </w:rPr>
        <w:t xml:space="preserve">Textbooks </w:t>
      </w:r>
      <w:r w:rsidRPr="0098127B">
        <w:rPr>
          <w:rFonts w:asciiTheme="majorBidi" w:hAnsiTheme="majorBidi" w:cstheme="majorBidi"/>
          <w:b/>
          <w:bCs/>
          <w:sz w:val="24"/>
          <w:szCs w:val="24"/>
        </w:rPr>
        <w:t xml:space="preserve">Influence on </w:t>
      </w:r>
      <w:r w:rsidR="00A30B13" w:rsidRPr="0098127B">
        <w:rPr>
          <w:rFonts w:asciiTheme="majorBidi" w:hAnsiTheme="majorBidi" w:cstheme="majorBidi"/>
          <w:b/>
          <w:bCs/>
          <w:sz w:val="24"/>
          <w:szCs w:val="24"/>
        </w:rPr>
        <w:t>Teaching Practices</w:t>
      </w:r>
    </w:p>
    <w:p w14:paraId="10C76EA3" w14:textId="7C43F8BE" w:rsidR="00990B98" w:rsidRPr="0098127B" w:rsidRDefault="00990B98"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In numerous centralized educational systems, textbooks serve as instructional frameworks, offering not only the subject matter to be taught, but also the recommended methodologies, classroom activities, and pacing (Mili &amp; Winch, 2019). This is especially true in the Middle East, where adopting national textbooks often goes hand in hand with strict curricula and little freedom for teachers to choose how to teach (Mithans &amp; Grmek, 2020). Teachers, particularly in under-resourced or rural schools, often depend significantly on the textbook to direct their lesson plans and daily classroom activities (Huang, 2019). Because of this, the way the textbook is designed and how it is used in the classroom, whether it encourages communicative tasks, rote memorization, or grammar drills, directly affects how teachers and students interact and teach (Mulyana, 2023).</w:t>
      </w:r>
    </w:p>
    <w:p w14:paraId="4DEC0F32" w14:textId="524FB51F" w:rsidR="00990B98" w:rsidRPr="0098127B" w:rsidRDefault="00990B98" w:rsidP="00990B98">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Textbooks significantly shape assessment strategies, especially when national or school-level examinations are synchronized with textbook material (Mulyana, 2023). Textbooks are the main way that students in Iraq and Iran prepare for high-stakes tests, which are very important for moving up in school. To make sure that students meet the expected standards, teachers often use quizzes and tests that are similar to textbook exercises. The close relationship between textbooks and tests means that the types of tasks that are emphasized, like multiple-choice grammar items, vocabulary matching, and comprehension questions, determine what "counts" as language proficiency (Uzum et al., 2021). The textbook serves as a conduit for instruction while simultaneously limiting the parameters of assessment.</w:t>
      </w:r>
    </w:p>
    <w:p w14:paraId="740FE2E7" w14:textId="3B0370C7" w:rsidR="00990B98" w:rsidRPr="0098127B" w:rsidRDefault="00990B98" w:rsidP="00990B98">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Textbooks have an effect on how students learn, especially on how they think about language learning (Mili &amp; Winch, 2019). Textbooks can encourage motivation and active participation when they have interesting, useful material and a range of tasks. On the other hand, learners may lose interest when they are too formal, culturally distant, or full of repetitive drills (Mulyana, 2023). Research indicates that students frequently reflect the values and priorities present in their textbooks; consequently, if oral skills are overlooked, learners may perceive speaking as less significant. If the content is focused on tests, students may think that learning a language is the same as taking a test, not communicating. So, textbooks have a subtle but strong effect on how students think and what they want to learn (Uzum et al., 2021).</w:t>
      </w:r>
    </w:p>
    <w:p w14:paraId="2080ADC8" w14:textId="6D634426" w:rsidR="00990B98" w:rsidRPr="0098127B" w:rsidRDefault="00990B98" w:rsidP="00990B98">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Textbooks can either help or hurt teachers' ability to come up with new ideas, depending on how flexible and helpful they are (Mithans &amp; Grmek, 2020). A well-designed textbook that encourages different activities, has project-based tasks, or has digital extras may make teachers want to go beyond the text. But textbooks that are too strict, have a set structure, and are mostly about passing tests often make it hard to change things (Huang, </w:t>
      </w:r>
      <w:r w:rsidRPr="0098127B">
        <w:rPr>
          <w:rFonts w:asciiTheme="majorBidi" w:hAnsiTheme="majorBidi" w:cstheme="majorBidi"/>
          <w:sz w:val="24"/>
          <w:szCs w:val="24"/>
        </w:rPr>
        <w:lastRenderedPageBreak/>
        <w:t xml:space="preserve">2019). For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series, teachers usually teach both books in a straight line, unit by unit, with little room for adding to or changing the materials. This dependence is made even stronger by the fear of going off-topic during tests or inspections, especially among new or untrained teachers (Mulyana, 2023).</w:t>
      </w:r>
    </w:p>
    <w:p w14:paraId="40225C5D" w14:textId="5C2E3861" w:rsidR="00A30B13" w:rsidRPr="0098127B" w:rsidRDefault="00990B98" w:rsidP="00990B98">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Textbooks are also important ways to pass on cultural stories that shape how students see themselves as members of their country and society (Huang, 2019). This cultural messaging can affect how the classroom feels, how teachers and students interact, and how important students feel (Uzum et al., 2021). For example, if a textbook focuses on moral lessons, national history, or traditional values, teachers might be expected to talk about these things in class (Mithans &amp; Grmek, 2020). If the cultural context provided is excessively unfamiliar, students may experience alienation or confusion, adversely affecting their engagement (Huang, 2019). So, the choices of content, from the topic to the names of the characters, affect how students feel about and interact with language learning (Mili &amp; Winch, 2019).</w:t>
      </w:r>
    </w:p>
    <w:p w14:paraId="3038AFD7" w14:textId="4AB8A1C4" w:rsidR="00B4266B" w:rsidRPr="0098127B" w:rsidRDefault="00B4266B" w:rsidP="00A30B13">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6</w:t>
      </w:r>
      <w:r w:rsidRPr="0098127B">
        <w:rPr>
          <w:rFonts w:asciiTheme="majorBidi" w:hAnsiTheme="majorBidi" w:cstheme="majorBidi"/>
          <w:b/>
          <w:bCs/>
          <w:sz w:val="24"/>
          <w:szCs w:val="24"/>
        </w:rPr>
        <w:t xml:space="preserve">.3 Textbooks as </w:t>
      </w:r>
      <w:r w:rsidR="00A30B13" w:rsidRPr="0098127B">
        <w:rPr>
          <w:rFonts w:asciiTheme="majorBidi" w:hAnsiTheme="majorBidi" w:cstheme="majorBidi"/>
          <w:b/>
          <w:bCs/>
          <w:sz w:val="24"/>
          <w:szCs w:val="24"/>
        </w:rPr>
        <w:t>Ideological Tools</w:t>
      </w:r>
    </w:p>
    <w:p w14:paraId="573FB384" w14:textId="5EE9248A" w:rsidR="00DE3E42" w:rsidRPr="0098127B" w:rsidRDefault="00DE3E42"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English language textbooks do more than just teach grammar and vocabulary; they often reflect and promote certain linguistic ideologies that are in line with larger educational and political goals (Chishti, 2021). In many places where English is not the first language, people see English textbooks as a way to become more modern, global, and economically successful (Wain, 2022). But this can sometimes cause problems when trying to promote English as an international language while also keeping national language identity (Shah, 2023). For instance, textbooks may promote communicative competence in English on the surface, but they also reinforce the dominant norms of "standard" English, which are usually British or American varieties. This makes these dialects seem more legitimate or prestigious (Ulum &amp; </w:t>
      </w:r>
      <w:r w:rsidRPr="0098127B">
        <w:rPr>
          <w:rFonts w:asciiTheme="majorBidi" w:hAnsiTheme="majorBidi" w:cstheme="majorBidi"/>
          <w:sz w:val="24"/>
          <w:szCs w:val="24"/>
        </w:rPr>
        <w:lastRenderedPageBreak/>
        <w:t>Köksal, 2019). This affects how students think about their own accents or dialects, which could make them feel insecure about their language skills or make local varieties of English less important.</w:t>
      </w:r>
    </w:p>
    <w:p w14:paraId="41D6B5FB" w14:textId="70FFF5F0"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Textbooks often contain cultural values, both explicit and implicit, that influence how students see the world (Ulum &amp; Köksal, 2020). In numerous Middle Eastern nations, the development of textbooks is rigorously regulated by ministries of education, enabling states to utilize these resources for cultural reproduction and ideological conformity (Shah, 2023). In these places, English textbooks might either show local cultural values (like family, hospitality, and religious observance) or include Western cultural content on purpose to show students how people around the world live. This balancing act is clear in books like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which tries to combine Western-oriented content with topics that are sensitive to other cultures (Chishti, 2021). Still, the choice of which holidays, role models, or social situations are shown in dialogues or reading passages sends hidden messages about what is "normal," "modern," or "appropriate."</w:t>
      </w:r>
    </w:p>
    <w:p w14:paraId="65102EA8" w14:textId="350175F9"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The portrayal of characters, narratives, and identities in textbooks is essential for ideological control (Chishti, 2021). Studies indicate that textbook content frequently omits or inadequately represents minority groups, alternative lifestyles, or controversial historical narratives (Ulum &amp; Köksal, 2019). There is a clear effort in Iranian and Iraqi textbooks to create a single moral and cultural identity, which is often linked to religious and nationalistic ideas. For instance, even though global issues like climate change and technology may be brought up, the characters and situations are often carefully set up to fit with social norms about gender roles, dress codes, and respect for authority (Ulum &amp; Köksal, 2020). This not only restricts exposure to varied viewpoints but also fortifies dominant narratives regarding the definition of a "good citizen" or "moral individual."</w:t>
      </w:r>
    </w:p>
    <w:p w14:paraId="38DAC005" w14:textId="21017E16"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Textbooks are tools of the "hidden curriculum" that send messages about authority, obedience, and social hierarchy without saying them directly (Wain, 2022). In both Iran and Iraq, English textbooks are often used to teach a language and to keep students in line and make sure they agree with the school's ideas. The structure of the exercises (for example, fill-in-the-blanks and correct-the-sentence), the absence of open-ended or critical thinking tasks, and the teacher-centered way of presenting knowledge all support a top-down model of education. This structure subtly teaches students that knowledge is fixed, not constructed, and that there is little room for questioning or alternative interpretations, an ideological stance that supports existing educational and political power structures (Ulum &amp; Köksal, 2019).</w:t>
      </w:r>
    </w:p>
    <w:p w14:paraId="3B054341" w14:textId="25F59690"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Another important ideological aspect of English textbooks in the Middle East is the conflict between global and local influences (Chishti, 2021). On one hand, the use of global communicative methods (which are often brought in by foreign consultants or publishers) is meant to make schools more competitive on the world stage and in line with global educational standards (Wain, 2022). On the other hand, local policymakers and curriculum developers often use strong cultural filters to make sure that materials do not go against religious or social norms. This conflict creates a hybrid form of textbook that seeks to help people communicate better around the world while also protecting national identity (Ulum &amp; Köksal, 2020). The outcome frequently manifests as a superficial implementation of CLT, devoid of its essential pedagogical principles.</w:t>
      </w:r>
    </w:p>
    <w:p w14:paraId="0C78E17C" w14:textId="2945F36E" w:rsidR="00A30B13"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At the end, the ideological content of textbooks affects how students see themselves and how teachers see themselves (Wain, 2022). Students are not merely acquiring language; they are also assimilating narratives concerning gender, success, authority, and cultural identity. Teachers are also expected to reinforce accepted interpretations and stay away from sensitive or controversial subjects, so they are not just facilitators. In highly centralized systems, straying from textbook content is often discouraged or even punished, which makes </w:t>
      </w:r>
      <w:r w:rsidRPr="0098127B">
        <w:rPr>
          <w:rFonts w:asciiTheme="majorBidi" w:hAnsiTheme="majorBidi" w:cstheme="majorBidi"/>
          <w:sz w:val="24"/>
          <w:szCs w:val="24"/>
        </w:rPr>
        <w:lastRenderedPageBreak/>
        <w:t>the ideological framing of textbooks even more important (Ulum &amp; Köksal, 2020). So, looking at textbooks as ideological tools is important not only for figuring out what is in the curriculum but also for judging bigger educational policies and what really happens in the classroom.</w:t>
      </w:r>
    </w:p>
    <w:p w14:paraId="09BEA134" w14:textId="553326BD" w:rsidR="00B4266B" w:rsidRPr="0098127B" w:rsidRDefault="00B4266B" w:rsidP="00A30B13">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6</w:t>
      </w:r>
      <w:r w:rsidRPr="0098127B">
        <w:rPr>
          <w:rFonts w:asciiTheme="majorBidi" w:hAnsiTheme="majorBidi" w:cstheme="majorBidi"/>
          <w:b/>
          <w:bCs/>
          <w:sz w:val="24"/>
          <w:szCs w:val="24"/>
        </w:rPr>
        <w:t xml:space="preserve">.4 </w:t>
      </w:r>
      <w:r w:rsidR="00A30B13" w:rsidRPr="0098127B">
        <w:rPr>
          <w:rFonts w:asciiTheme="majorBidi" w:hAnsiTheme="majorBidi" w:cstheme="majorBidi"/>
          <w:b/>
          <w:bCs/>
          <w:sz w:val="24"/>
          <w:szCs w:val="24"/>
        </w:rPr>
        <w:t>Textbooks Influence on Exam-Driven Contexts</w:t>
      </w:r>
    </w:p>
    <w:p w14:paraId="26692776" w14:textId="7AE8A81A" w:rsidR="00DE3E42" w:rsidRPr="0098127B" w:rsidRDefault="00DE3E42"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In contexts with limited resources, where access to varied teaching materials, qualified educators, and digital technologies is restricted, textbooks frequently serve as the exclusive or principal source of instructional content (Ahmad et al., 2025). This is especially true in Iraq and Iran, where poor infrastructure, underfunded schools, and differences between rural and urban areas make it hard for many students and teachers to get to other learning tools (Elbakay et al., 2024). In these situations, textbooks are not just extra materials; they are the main part of the curriculum. Consequently, the design, structure, and content of the textbook exert excessive influence on student learning, teacher instruction, and educational assessment (Julie et al., 2019).</w:t>
      </w:r>
    </w:p>
    <w:p w14:paraId="2B1BADDD" w14:textId="756023A4"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 In countries like Iran and Iraq where tests are the main way to learn, the textbook is not just a tool for teaching; it is also a guide for getting ready for tests. High-stakes national tests often use information from textbooks, either directly or indirectly. This creates a strong "teaching-to-the-test" culture. Because of this, teachers feel like they have to stick to what is in the textbook to make sure their students do well on these tests (Elbakay et al., 2024). This alignment means that textbooks control how fast lessons go, how tests are given, and even how students talk to each other in class. There is not much room for additional resources, creative tasks, or critical thinking activities that are not clearly stated in the textbook because teachers are under so much pressure to get students ready for standardized tests (Ahmad et al., 2025).</w:t>
      </w:r>
    </w:p>
    <w:p w14:paraId="5FE9C283" w14:textId="5442C342"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Textbooks are also very important because they help make sure that lessons are the same in places where teachers have very different levels of skill (Elbakay et al., 2024). In places where teacher training is not very good or is not always available, textbooks act as de facto teaching guides, giving structure, lesson progression, and ways to test students. This standardization can help make sure that the curriculum is delivered fairly, especially in centralized educational systems (D'Agostino, 2023). But it also supports a top-down approach to education, which limits teachers' freedom and makes it hard for them to come up with new ideas for the curriculum (Julie et al., 2019).</w:t>
      </w:r>
    </w:p>
    <w:p w14:paraId="25D80384" w14:textId="2ED1A86C"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In education systems that are weak or have just come out of a conflict, like Iraq's, textbooks often help keep things stable (D'Agostino, 2023). When infrastructure fails, people are forced to move, or politics get messy, a consistent, state-approved textbook can help people feel normal and connected again (Ahmad et al., 2025). For a lot of students, especially those who live in rural or poor areas, having a textbook means having a real and dependable way to learn that does not depend on electricity, the internet, or a teacher's knowledge. In places where resources are scarce and things are always changing, this makes textbooks very strong and useful tools (D'Agostino, 2023).</w:t>
      </w:r>
    </w:p>
    <w:p w14:paraId="4FF4DB6B" w14:textId="77777777" w:rsidR="00DE3E42"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Textbooks are also very important for making education fair for everyone (Ahmad et al., 2025). Wealthier students may enhance their education through private tutoring, online resources, and extensive reading, whereas students from low-income families frequently depend solely on the textbook (D’Agostino, 2023). So, any problems with the content of textbooks, like ideological bias, cultural irrelevance, or outdated teaching methods, can have a bigger effect on students who are already behind. It is not only a matter of curriculum but also of social justice to make sure that textbooks are correct, inclusive, and pedagogically sound (D'Agostino, 2023). However, in low-resource and exam-driven settings, too much reliance on textbooks can stifle innovation and student engagement (Julie et al., 2019).</w:t>
      </w:r>
    </w:p>
    <w:p w14:paraId="713AF00D" w14:textId="37617FF4" w:rsidR="00B4266B" w:rsidRPr="0098127B" w:rsidRDefault="00DE3E42" w:rsidP="00DE3E42">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Teachers might not want to stray from the textbook because they are afraid it will hurt their students' exam preparation or get them in trouble for not following the curriculum. Additionally, textbooks that focus on rote memorization, grammar drills, or translation exercises (as is common in traditional ELT methods) go against the principles of modern language teaching, which include communicative competence and critical thinking. Consequently, although textbooks are essential in these contexts, their prevalence may obstruct pedagogical reform unless they are meticulously crafted and bolstered by teacher training (Ahmad et al., 2025).</w:t>
      </w:r>
    </w:p>
    <w:p w14:paraId="7D180A58" w14:textId="18CB070D" w:rsidR="00B4266B" w:rsidRPr="0098127B" w:rsidRDefault="00B4266B" w:rsidP="00A30B13">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7</w:t>
      </w:r>
      <w:r w:rsidRPr="0098127B">
        <w:rPr>
          <w:rFonts w:asciiTheme="majorBidi" w:hAnsiTheme="majorBidi" w:cstheme="majorBidi"/>
          <w:b/>
          <w:bCs/>
          <w:sz w:val="24"/>
          <w:szCs w:val="24"/>
        </w:rPr>
        <w:t xml:space="preserve"> Textbook Evaluation Frameworks</w:t>
      </w:r>
    </w:p>
    <w:p w14:paraId="1E51DA44" w14:textId="34EE118A" w:rsidR="00B4266B" w:rsidRPr="0098127B" w:rsidRDefault="009F1CB5" w:rsidP="00A30B13">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7</w:t>
      </w:r>
      <w:r w:rsidRPr="0098127B">
        <w:rPr>
          <w:rFonts w:asciiTheme="majorBidi" w:hAnsiTheme="majorBidi" w:cstheme="majorBidi"/>
          <w:b/>
          <w:bCs/>
          <w:sz w:val="24"/>
          <w:szCs w:val="24"/>
        </w:rPr>
        <w:t xml:space="preserve">.1 </w:t>
      </w:r>
      <w:r w:rsidR="005C4DBD" w:rsidRPr="0098127B">
        <w:rPr>
          <w:rFonts w:asciiTheme="majorBidi" w:hAnsiTheme="majorBidi" w:cstheme="majorBidi"/>
          <w:b/>
          <w:bCs/>
          <w:sz w:val="24"/>
          <w:szCs w:val="24"/>
        </w:rPr>
        <w:t>Common Textbook Evaluation Models</w:t>
      </w:r>
    </w:p>
    <w:p w14:paraId="35334D9D" w14:textId="404A469B" w:rsidR="00B77580" w:rsidRPr="0098127B" w:rsidRDefault="00B77580"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Cunningsworth's (1995) evaluation framework is one of the most important tools for evaluating ELT textbooks. His model provides a pragmatic checklist of criteria to ascertain that the selected textbook fulfills the learners' requirements, aligns with curriculum objectives, and facilitates efficient language acquisition. He talks about four main roles that textbooks play: as a resource for presentation, practice, and interaction; as a syllabus; as a source of language input; and as a way to help students learn on their own. His standards are divided into groups based on things like language content, skills development, methodology, and topic relevance. The fact that Cunningsworth's approach is both thorough and easy to use is one of its main strengths. This makes it especially good for teachers and curriculum developers to use before and during evaluations.</w:t>
      </w:r>
    </w:p>
    <w:p w14:paraId="0C353DA1" w14:textId="26299C62" w:rsidR="00B77580" w:rsidRPr="0098127B" w:rsidRDefault="00B77580" w:rsidP="00B7758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Sheldon (1988) devised a comprehensive evaluation framework that classifies textbook analysis into 53 evaluative criteria, organized into 17 principal categories, including rationale, accessibility, layout, authenticity, and cultural bias. His approach was groundbreaking because it directly dealt with the commercial and ideological aspects of </w:t>
      </w:r>
      <w:r w:rsidRPr="0098127B">
        <w:rPr>
          <w:rFonts w:asciiTheme="majorBidi" w:hAnsiTheme="majorBidi" w:cstheme="majorBidi"/>
          <w:sz w:val="24"/>
          <w:szCs w:val="24"/>
        </w:rPr>
        <w:lastRenderedPageBreak/>
        <w:t>textbooks, warning that the choice of textbooks is often based on institutional politics or publishing pressures rather than their educational value. Sheldon’s checklist is especially good for comparing several textbooks because it lets evaluators score and rank the choices.</w:t>
      </w:r>
      <w:r w:rsidR="00ED000A" w:rsidRPr="0098127B">
        <w:rPr>
          <w:rFonts w:asciiTheme="majorBidi" w:hAnsiTheme="majorBidi" w:cstheme="majorBidi"/>
          <w:sz w:val="24"/>
          <w:szCs w:val="24"/>
        </w:rPr>
        <w:t xml:space="preserve"> </w:t>
      </w:r>
      <w:r w:rsidRPr="0098127B">
        <w:rPr>
          <w:rFonts w:asciiTheme="majorBidi" w:hAnsiTheme="majorBidi" w:cstheme="majorBidi"/>
          <w:sz w:val="24"/>
          <w:szCs w:val="24"/>
        </w:rPr>
        <w:t>Others have said that it is too quantitative and rigid, which could make it less flexible in evaluations that depend on the context, especially in places with fewer resources.</w:t>
      </w:r>
    </w:p>
    <w:p w14:paraId="718A08CD" w14:textId="5F6ACF66" w:rsidR="00B77580" w:rsidRPr="0098127B" w:rsidRDefault="00B77580" w:rsidP="00B7758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McDonough and Shaw (2003) put forward a three-stage model for evaluating textbooks: external evaluation, internal evaluation, and overall evaluation. This process-oriented model starts with a macro-level look at the book's stated goals and design (external), then goes into a detailed look at the actual content, language skills, and exercises (internal), and finally comes to a conclusion by putting all the findings together (overall). This structure makes it easy to review textbooks in a systematic but flexible way, which is especially useful when you need to make smart decisions about which textbooks to use. This model is strong because it is clear and follows a logical order, which makes it appealing to both new and experienced teachers. McDonough and Shaw stress professional judgment over mechanical scoring, which is different from Sheldon's strict checklist.</w:t>
      </w:r>
    </w:p>
    <w:p w14:paraId="57808CF8" w14:textId="693F1D15" w:rsidR="00B77580" w:rsidRPr="0098127B" w:rsidRDefault="00B77580" w:rsidP="00B7758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Littlejohn (1998) presents a more analytical and less impressionistic framework, transcending conventional checklist-based assessments. His three-level framework includes (1) What is there?  1. An objective description; 2. What users must do; (task analysis), and (3) What does it mean? (value assumptions). He talks about the educational and ideological effects of textbook design, which helps us understand the hidden curriculum and the power dynamics that are built into ELT materials. Littlejohn's method pushes evaluators to look closely at not just the content and form, but also how the textbook structure puts teachers and students in different roles. It is more intellectually demanding than checklist models, but it is especially useful for researchers and policymakers who want to find the deeper meanings and biases in teaching materials.</w:t>
      </w:r>
    </w:p>
    <w:p w14:paraId="44F31FB0" w14:textId="445A5C21" w:rsidR="005C4DBD" w:rsidRPr="0098127B" w:rsidRDefault="00B77580" w:rsidP="00B7758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AbdelWahab (2013) created a useful checklist-based evaluation model specifically for ELT settings in the Middle East and North Africa (MENA). Her framework is based on earlier models by Cunningsworth and Sheldon and has three main parts: physical and utilitarian attributes, efficient layout and design, and teaching and learning content. AbdelWahab also stresses the importance of cultural appropriateness and following national education standards, which are very important in schools that are religiously or politically conservative. Her model is especially helpful for evaluating textbooks in context, especially when materials published in other countries are used in local settings. It strikes a good balance between being deep and easy to use, which makes it great for teacher-researchers and curriculum evaluators in the MENA region.</w:t>
      </w:r>
    </w:p>
    <w:p w14:paraId="1297A222" w14:textId="6F615775" w:rsidR="00B4266B" w:rsidRPr="0098127B" w:rsidRDefault="009F1CB5" w:rsidP="009F1CB5">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B44BB7">
        <w:rPr>
          <w:rFonts w:asciiTheme="majorBidi" w:hAnsiTheme="majorBidi" w:cstheme="majorBidi"/>
          <w:b/>
          <w:bCs/>
          <w:sz w:val="24"/>
          <w:szCs w:val="24"/>
        </w:rPr>
        <w:t>7</w:t>
      </w:r>
      <w:r w:rsidRPr="0098127B">
        <w:rPr>
          <w:rFonts w:asciiTheme="majorBidi" w:hAnsiTheme="majorBidi" w:cstheme="majorBidi"/>
          <w:b/>
          <w:bCs/>
          <w:sz w:val="24"/>
          <w:szCs w:val="24"/>
        </w:rPr>
        <w:t xml:space="preserve">.2 </w:t>
      </w:r>
      <w:r w:rsidR="00B4266B" w:rsidRPr="0098127B">
        <w:rPr>
          <w:rFonts w:asciiTheme="majorBidi" w:hAnsiTheme="majorBidi" w:cstheme="majorBidi"/>
          <w:b/>
          <w:bCs/>
          <w:sz w:val="24"/>
          <w:szCs w:val="24"/>
        </w:rPr>
        <w:t xml:space="preserve">Justification for </w:t>
      </w:r>
      <w:r w:rsidR="00441F91" w:rsidRPr="0098127B">
        <w:rPr>
          <w:rFonts w:asciiTheme="majorBidi" w:hAnsiTheme="majorBidi" w:cstheme="majorBidi"/>
          <w:b/>
          <w:bCs/>
          <w:sz w:val="24"/>
          <w:szCs w:val="24"/>
        </w:rPr>
        <w:t xml:space="preserve">Selecting </w:t>
      </w:r>
      <w:r w:rsidR="00B4266B" w:rsidRPr="0098127B">
        <w:rPr>
          <w:rFonts w:asciiTheme="majorBidi" w:hAnsiTheme="majorBidi" w:cstheme="majorBidi"/>
          <w:b/>
          <w:bCs/>
          <w:sz w:val="24"/>
          <w:szCs w:val="24"/>
        </w:rPr>
        <w:t xml:space="preserve">AbdelWahab’s </w:t>
      </w:r>
      <w:r w:rsidR="00441F91" w:rsidRPr="0098127B">
        <w:rPr>
          <w:rFonts w:asciiTheme="majorBidi" w:hAnsiTheme="majorBidi" w:cstheme="majorBidi"/>
          <w:b/>
          <w:bCs/>
          <w:sz w:val="24"/>
          <w:szCs w:val="24"/>
        </w:rPr>
        <w:t>Checklist</w:t>
      </w:r>
    </w:p>
    <w:p w14:paraId="653F8A91" w14:textId="0E83A42A" w:rsidR="00B77580" w:rsidRPr="0098127B" w:rsidRDefault="00B77580"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The choice of AbdelWahab’s (2013) checklist as the principal evaluation instrument for this comparative analysis of English language curricula in Iraq and Iran is based on both contextual significance and methodological precision. AbdelWahab's framework was specifically designed to assess ELT materials in MENA educational settings, in contrast to more generalized Western-based models like those by Cunningsworth (1995) or Sheldon (1988). This regional alignment is crucial for a study conducted in Iraq and Iran, where cultural, religious, and political values substantially influence curricular content and textbook design. Her model takes these socio-cultural factors into account by including criteria for cultural appropriateness, local relevance, and alignment with national educational standards. This makes it a much more context-sensitive tool than its predecessors.</w:t>
      </w:r>
    </w:p>
    <w:p w14:paraId="51B3D310" w14:textId="24241B89" w:rsidR="00B77580" w:rsidRPr="0098127B" w:rsidRDefault="00B77580" w:rsidP="00B77580">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AbdelWahab's checklist also successfully combines both pedagogical content and useful textbook features. This lets the researcher look at not only the textbook's language and communication goals, but also its physical layout, accessibility, visual appeal, and structural </w:t>
      </w:r>
      <w:r w:rsidRPr="0098127B">
        <w:rPr>
          <w:rFonts w:asciiTheme="majorBidi" w:hAnsiTheme="majorBidi" w:cstheme="majorBidi"/>
          <w:sz w:val="24"/>
          <w:szCs w:val="24"/>
        </w:rPr>
        <w:lastRenderedPageBreak/>
        <w:t>coherence. This all-encompassing method makes it possible to fully evaluate how well the textbooks in question serve as tools for teaching, learning aids, and cultural artifacts. In comparative studies, where variations in textbook quality may stem from both content and presentation, such dual emphasis is particularly beneficial. The checklist's structured design, which includes a three-point scale that can be measured, makes sure that scores are consistent across different textbooks and gives a reliable way to compare scores across countries.</w:t>
      </w:r>
    </w:p>
    <w:p w14:paraId="4368CD69" w14:textId="35D003F1" w:rsidR="003376DC" w:rsidRPr="0098127B" w:rsidRDefault="00B77580" w:rsidP="006A73E7">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AbdelWahab's model has also been praised for being easy to use and clear, which makes it useful for both researchers and teachers. Since this study's goal is to not only record differences in curriculum content but also to help with future textbook reforms, it is important to use a tool that gives results that can be understood and acted upon. The checklist has undergone validation in multiple studies within analogous educational settings, thereby reinforcing its credibility and applicability. The clear criteria and evidence-based design help to reduce subjectivity, which fits well with the study's quantitative research design. Thus, AbdelWahab’s (2013) model is the best way to meet the study's goals and make sure that the evaluation of ELT textbooks in Iraq and Iran is both valid and culturally appropriate.</w:t>
      </w:r>
    </w:p>
    <w:p w14:paraId="3ED73D4E" w14:textId="7ACCE1C7" w:rsidR="00B4266B" w:rsidRPr="0098127B" w:rsidRDefault="00B4266B" w:rsidP="009F1CB5">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9F1CB5" w:rsidRPr="0098127B">
        <w:rPr>
          <w:rFonts w:asciiTheme="majorBidi" w:hAnsiTheme="majorBidi" w:cstheme="majorBidi"/>
          <w:b/>
          <w:bCs/>
          <w:sz w:val="24"/>
          <w:szCs w:val="24"/>
        </w:rPr>
        <w:t>8</w:t>
      </w:r>
      <w:r w:rsidRPr="0098127B">
        <w:rPr>
          <w:rFonts w:asciiTheme="majorBidi" w:hAnsiTheme="majorBidi" w:cstheme="majorBidi"/>
          <w:b/>
          <w:bCs/>
          <w:sz w:val="24"/>
          <w:szCs w:val="24"/>
        </w:rPr>
        <w:t xml:space="preserve"> Empirical Studies</w:t>
      </w:r>
    </w:p>
    <w:p w14:paraId="5291B70C" w14:textId="77777777" w:rsidR="009F1CB5" w:rsidRPr="0098127B" w:rsidRDefault="009F1CB5"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In recent years, there has been a lot of interest in looking at ELT materials, especially their content, teaching methods, and cultural representations.  Dahmardeh et al. (2025) did a thorough content study of 64 ELT coursebooks used in seven Middle Eastern countries: Egypt, Iran, Iraq, Oman, Saudi Arabia, Syria, and the United Arab Emirates.  Their research showed a clear gender imbalance, with men commonly shown in strong and varied positions and women generally shown in conventional ones.  These kinds of images not only show how biased society is, but they may also change how pupils see themselves and how they grow socially.</w:t>
      </w:r>
    </w:p>
    <w:p w14:paraId="3B28259F" w14:textId="77777777" w:rsidR="009F1CB5" w:rsidRPr="0098127B" w:rsidRDefault="009F1CB5" w:rsidP="009F1CB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Samir and Motallebzadeh (2023) looked into the master's curriculum in English Translation programs at Iranian institutions as part of their work on curriculum improvement.  They used a qualitative-comparative study to look at Iran's curriculum and compare it to those of seven well-known Asian colleges. They looked at things including degree titles, credit requirements, course formats, instructional goals, and content.  Their results showed that Iran's curriculum needed to be changed, with a focus on adding practical courses like "co-translator software" and interpretation skills to better meet global standards and market needs.</w:t>
      </w:r>
    </w:p>
    <w:p w14:paraId="0E382293" w14:textId="77777777" w:rsidR="009F1CB5" w:rsidRPr="0098127B" w:rsidRDefault="009F1CB5" w:rsidP="009F1CB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Prodanović and Gavranović (2022) carried out a comparative case study of three English language textbooks for third-grade primary education, based on the cultural and linguistic backgrounds of their authors. Specifically, this study investigated the structural organization and linguistic elements of textbooks and highlighted the differences and similarities in the approaches to presenting the contents. They underscored that textbooks can also be based on textbook theory, and the author's background has a significant influence on the teaching practices and cultural perspectives employed in the textbook.</w:t>
      </w:r>
    </w:p>
    <w:p w14:paraId="1A9324C4" w14:textId="2C2B8416" w:rsidR="009F1CB5" w:rsidRPr="0098127B" w:rsidRDefault="009F1CB5" w:rsidP="009F1CB5">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The research conducted by Malik, et al. (2022) focused on the cognitive dimension of ELT materials. The study evaluated student learning outcomes (SLOs) of KPK Education Board English textbooks for grades X and XI. The researchers used a modified Bloom's taxonomy system to divide SLOs into two groups: higher-order thinking skills (HOTS) and lower-order thinking skills (LOTS). The research found that SLOs in grades X and XI contained mainly LOTS components while their analysis revealed that HOTS elements represented 22.4% and 23.1% of the total outcomes in each grade respectively. The research demonstrated a need to enhance SLOs through the inclusion of higher-order thinking skills which would enable students to improve their problem-solving abilities.</w:t>
      </w:r>
    </w:p>
    <w:p w14:paraId="0277A8A1" w14:textId="1CECE922" w:rsidR="009F1CB5" w:rsidRPr="0098127B" w:rsidRDefault="009F1CB5" w:rsidP="005C4DBD">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 xml:space="preserve">A study by Maghsoudi (2020) analyzed Iran's Prospect and </w:t>
      </w:r>
      <w:r w:rsidR="00173BF0" w:rsidRPr="0098127B">
        <w:rPr>
          <w:rFonts w:asciiTheme="majorBidi" w:hAnsiTheme="majorBidi" w:cstheme="majorBidi"/>
          <w:sz w:val="24"/>
          <w:szCs w:val="24"/>
        </w:rPr>
        <w:t>Vision</w:t>
      </w:r>
      <w:r w:rsidRPr="0098127B">
        <w:rPr>
          <w:rFonts w:asciiTheme="majorBidi" w:hAnsiTheme="majorBidi" w:cstheme="majorBidi"/>
          <w:sz w:val="24"/>
          <w:szCs w:val="24"/>
        </w:rPr>
        <w:t xml:space="preserve"> and India's Standard English high school English textbooks to measure their intercultural communicative competence (ICC) implementation. The researcher assessed the textbooks by examining their content to determine the degree of critical cultural awareness and discovery as well as interaction skills. Indian textbooks demonstrated poor ICC implementation by offering minimal critical cultural awareness components while Iranian textbooks completely lacked essential ICC elements. The research established a fundamental requirement to embed ICC practices in ELT textbooks for students to achieve effective communication across various cultural environments.</w:t>
      </w:r>
    </w:p>
    <w:p w14:paraId="7EE7513A" w14:textId="1F06E385" w:rsidR="00811B4D" w:rsidRPr="0098127B" w:rsidRDefault="00811B4D" w:rsidP="00811B4D">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Jasim and Jasim (2021) conducted a descriptive, quantitative content analysis of the Grade 5 English for Iraq textbooks</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both the Pupil’s Book and Activity Book</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using ACTFL’s “five Cs” framework as evaluative criteria. All eight units across both books were analyzed through a specially adapted content-analysis card incorporating 32 items across nine sub-standards. The study revealed that while scores for Cultures and Connections were high ("large" percentage), the remaining dimensions</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Communication, Comparisons, and Communities</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were only moderate. This suggests the textbook series offers strong cultural relevance but is less effective in promoting broader communicative and comparative competencies.</w:t>
      </w:r>
    </w:p>
    <w:p w14:paraId="0B24173C" w14:textId="0E9D4DD7" w:rsidR="00811B4D" w:rsidRPr="0098127B" w:rsidRDefault="00811B4D" w:rsidP="00811B4D">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Obaid et al. (2019) explored the nature of cultural representation in the intermediate-level English for Iraq series through descriptive qualitative content analysis. Their findings indicate a dominance of “source culture” content</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that is, Iraqi-specific cultural elements</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presented through superficial features like local foods or familiar societal figures. In contrast, global or target culture elements appear infrequently and at a surface level, which may limit students' intercultural awareness.</w:t>
      </w:r>
    </w:p>
    <w:p w14:paraId="029C0156" w14:textId="71AFCA5A" w:rsidR="00811B4D" w:rsidRPr="0098127B" w:rsidRDefault="00811B4D" w:rsidP="00811B4D">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lastRenderedPageBreak/>
        <w:t>Nafashi et al. (2024) conducted a qualitative study using Litz’s checklist to capture both teacher and student perspectives on the English for Iraq series (1st and 2nd intermediate levels). Involving 30 EFL teachers and 70 students from various intermediate schools in Wasit province, respondents completed evaluation questionnaires assessing objectives, layout, methodology, skills, and language elements. Teachers generally regarded the textbooks as acceptable with regard to CLT-aligned practices</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featuring real-world fiction and nonfiction</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whereas students expressed neutral to ambivalent feelings, indicating mixed levels of engagement.</w:t>
      </w:r>
    </w:p>
    <w:p w14:paraId="35EBFDFC" w14:textId="77777777" w:rsidR="00811B4D" w:rsidRPr="0098127B" w:rsidRDefault="00811B4D" w:rsidP="00811B4D">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Majeed's (2017) mixed-methods evaluation focused on the 5th preparatory Student’s Book of the English for Iraq series. Conducted in Kirkuk with 565 students and 27 teachers/supervisors, the study utilized a questionnaire and achievement test to assess the textbook’s effectiveness in meeting curricular and behavioral objectives. The findings suggest that while the book meets acceptable standards and achieves intended outcomes, design flaws—such as overloaded units and insufficient learner adaptation—limit its pedagogical utility.</w:t>
      </w:r>
    </w:p>
    <w:p w14:paraId="2C5B8B35" w14:textId="7F917CAF" w:rsidR="00811B4D" w:rsidRPr="0098127B" w:rsidRDefault="00811B4D" w:rsidP="00811B4D">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Fayadh (2017) conducted a summative-formative evaluation of the second intermediate edition of English for Iraq, using a checklist refined through expert feedback and tested for reliability. The study assessed six domains</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including general goals, academic content, vocabulary and grammar, activities, visual attractiveness, and accompanying aids</w:t>
      </w:r>
      <w:r w:rsidR="006E4298" w:rsidRPr="0098127B">
        <w:rPr>
          <w:rFonts w:asciiTheme="majorBidi" w:hAnsiTheme="majorBidi" w:cstheme="majorBidi"/>
          <w:sz w:val="24"/>
          <w:szCs w:val="24"/>
        </w:rPr>
        <w:t xml:space="preserve">, </w:t>
      </w:r>
      <w:r w:rsidRPr="0098127B">
        <w:rPr>
          <w:rFonts w:asciiTheme="majorBidi" w:hAnsiTheme="majorBidi" w:cstheme="majorBidi"/>
          <w:sz w:val="24"/>
          <w:szCs w:val="24"/>
        </w:rPr>
        <w:t>across both the pupil and workbook. Results highlighted concerns over misalignment with students’ psychological, social, and cultural needs, prompting recommendations for periodic review and contextual updates to improve relevance.</w:t>
      </w:r>
    </w:p>
    <w:p w14:paraId="33A1CAE5" w14:textId="048D1E06" w:rsidR="006E4298" w:rsidRPr="0098127B" w:rsidRDefault="006E4298" w:rsidP="006E4298">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While these studies provide valuable insights into the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series across dimensions such as standard alignment, cultural content, learner perceptions, and content </w:t>
      </w:r>
      <w:r w:rsidRPr="0098127B">
        <w:rPr>
          <w:rFonts w:asciiTheme="majorBidi" w:hAnsiTheme="majorBidi" w:cstheme="majorBidi"/>
          <w:sz w:val="24"/>
          <w:szCs w:val="24"/>
        </w:rPr>
        <w:lastRenderedPageBreak/>
        <w:t>quality, several gaps remain. Most evaluations focus on isolated levels or utilize different frameworks, making cross-level or comparative analysis difficult. This gap points to the need for empirical, cross-country, and curriculum-level comparative studies that apply the same evaluative framework across both series, thus enabling meaningful insights on how national ideologies and pedagogical priorities are embedded in secondary-level ELT materials.</w:t>
      </w:r>
    </w:p>
    <w:p w14:paraId="7CBE4AC9" w14:textId="5C71414D" w:rsidR="003F37AA" w:rsidRPr="0098127B" w:rsidRDefault="00B4266B" w:rsidP="005C4DBD">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2.</w:t>
      </w:r>
      <w:r w:rsidR="009F1CB5" w:rsidRPr="0098127B">
        <w:rPr>
          <w:rFonts w:asciiTheme="majorBidi" w:hAnsiTheme="majorBidi" w:cstheme="majorBidi"/>
          <w:b/>
          <w:bCs/>
          <w:sz w:val="24"/>
          <w:szCs w:val="24"/>
        </w:rPr>
        <w:t>9</w:t>
      </w:r>
      <w:r w:rsidRPr="0098127B">
        <w:rPr>
          <w:rFonts w:asciiTheme="majorBidi" w:hAnsiTheme="majorBidi" w:cstheme="majorBidi"/>
          <w:b/>
          <w:bCs/>
          <w:sz w:val="24"/>
          <w:szCs w:val="24"/>
        </w:rPr>
        <w:t xml:space="preserve"> Research Gap</w:t>
      </w:r>
    </w:p>
    <w:p w14:paraId="636820AA" w14:textId="0A54609D" w:rsidR="005C5F9E" w:rsidRPr="0098127B" w:rsidRDefault="005C5F9E"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Even though people in the Middle East are interested in evaluating textbooks and changing the ELT curriculum, there is not much research comparing the </w:t>
      </w:r>
      <w:r w:rsidR="00173BF0"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00173BF0"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textbook series. These two secondary school textbooks, adopted nationally, embody contrasting socio-political contexts and educational objectives; however, no study has endeavored to examine them concurrently. Furthermore, there is an absence of consistency in evaluation frameworks among current assessments, complicating the ability to make significant comparisons or discern common patterns. There is a notable absence of studies employing a standardized, empirically validated evaluation checklist to analyze both series through a cohesive framework. This constrains our capacity to examine extensive regional trends or discern curriculum design principles that could guide policy formulation.</w:t>
      </w:r>
    </w:p>
    <w:p w14:paraId="42CB3B6D" w14:textId="4E851AF6" w:rsidR="005C4DBD" w:rsidRPr="0098127B" w:rsidRDefault="005C5F9E" w:rsidP="005C5F9E">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Additionally, it is imperative to examine the integration of national ideologies within ELT materials, particularly in politically and culturally unique contexts such as Iraq and Iran. Although certain studies reference ideological content, comprehensive examinations of the role of language textbooks as instruments of sociopolitical messaging are limited. Finally, there have been few empirical cross-country content analyses that focus specifically on the secondary education level, where language instruction often shapes long-term linguistic competence and cultural understanding. Filling in these gaps will help us better understand </w:t>
      </w:r>
      <w:r w:rsidRPr="0098127B">
        <w:rPr>
          <w:rFonts w:asciiTheme="majorBidi" w:hAnsiTheme="majorBidi" w:cstheme="majorBidi"/>
          <w:sz w:val="24"/>
          <w:szCs w:val="24"/>
        </w:rPr>
        <w:lastRenderedPageBreak/>
        <w:t>how to build an ELT curriculum in the Middle East and lead to more culturally sensitive and pedagogically sound practices.</w:t>
      </w:r>
    </w:p>
    <w:p w14:paraId="2DF1527D" w14:textId="77777777" w:rsidR="00D433F0" w:rsidRDefault="00D433F0" w:rsidP="00867B69">
      <w:pPr>
        <w:spacing w:line="480" w:lineRule="auto"/>
        <w:ind w:firstLine="720"/>
        <w:rPr>
          <w:rFonts w:asciiTheme="majorBidi" w:hAnsiTheme="majorBidi" w:cstheme="majorBidi"/>
          <w:sz w:val="24"/>
          <w:szCs w:val="24"/>
        </w:rPr>
        <w:sectPr w:rsidR="00D433F0" w:rsidSect="003618BC">
          <w:pgSz w:w="11906" w:h="16838" w:code="9"/>
          <w:pgMar w:top="1440" w:right="1440" w:bottom="1440" w:left="1440" w:header="708" w:footer="708" w:gutter="0"/>
          <w:cols w:space="708"/>
          <w:titlePg/>
          <w:docGrid w:linePitch="360"/>
        </w:sectPr>
      </w:pPr>
    </w:p>
    <w:p w14:paraId="2C724946" w14:textId="77777777" w:rsidR="003F37AA" w:rsidRPr="0098127B" w:rsidRDefault="003F37AA" w:rsidP="0002629E">
      <w:pPr>
        <w:spacing w:line="480" w:lineRule="auto"/>
        <w:ind w:firstLine="720"/>
        <w:rPr>
          <w:rFonts w:asciiTheme="majorBidi" w:hAnsiTheme="majorBidi" w:cstheme="majorBidi"/>
          <w:sz w:val="24"/>
          <w:szCs w:val="24"/>
        </w:rPr>
      </w:pPr>
    </w:p>
    <w:p w14:paraId="33739358" w14:textId="77777777" w:rsidR="0002629E" w:rsidRPr="0098127B" w:rsidRDefault="0002629E" w:rsidP="009F1CB5">
      <w:pPr>
        <w:spacing w:line="480" w:lineRule="auto"/>
        <w:rPr>
          <w:rFonts w:asciiTheme="majorBidi" w:hAnsiTheme="majorBidi" w:cstheme="majorBidi"/>
          <w:sz w:val="24"/>
          <w:szCs w:val="24"/>
        </w:rPr>
      </w:pPr>
    </w:p>
    <w:p w14:paraId="4857A22F" w14:textId="0DDC9E7C" w:rsidR="003F37AA" w:rsidRPr="0098127B" w:rsidRDefault="003F37AA" w:rsidP="0002629E">
      <w:pPr>
        <w:spacing w:line="480" w:lineRule="auto"/>
        <w:ind w:firstLine="720"/>
        <w:rPr>
          <w:rFonts w:asciiTheme="majorBidi" w:hAnsiTheme="majorBidi" w:cstheme="majorBidi"/>
          <w:sz w:val="24"/>
          <w:szCs w:val="24"/>
        </w:rPr>
      </w:pPr>
    </w:p>
    <w:p w14:paraId="63B8B09E" w14:textId="3F5C98BB" w:rsidR="008379AE" w:rsidRPr="0098127B" w:rsidRDefault="008379AE" w:rsidP="0002629E">
      <w:pPr>
        <w:spacing w:line="480" w:lineRule="auto"/>
        <w:ind w:firstLine="720"/>
        <w:rPr>
          <w:rFonts w:asciiTheme="majorBidi" w:hAnsiTheme="majorBidi" w:cstheme="majorBidi"/>
          <w:sz w:val="24"/>
          <w:szCs w:val="24"/>
        </w:rPr>
      </w:pPr>
    </w:p>
    <w:p w14:paraId="179DA7BC" w14:textId="1638A18E" w:rsidR="008379AE" w:rsidRPr="0098127B" w:rsidRDefault="008379AE" w:rsidP="008930DE">
      <w:pPr>
        <w:spacing w:line="480" w:lineRule="auto"/>
        <w:rPr>
          <w:rFonts w:asciiTheme="majorBidi" w:hAnsiTheme="majorBidi" w:cstheme="majorBidi"/>
          <w:sz w:val="24"/>
          <w:szCs w:val="24"/>
        </w:rPr>
      </w:pPr>
    </w:p>
    <w:p w14:paraId="10EF6003" w14:textId="77777777" w:rsidR="008930DE" w:rsidRPr="0098127B" w:rsidRDefault="008930DE" w:rsidP="008930DE">
      <w:pPr>
        <w:spacing w:line="480" w:lineRule="auto"/>
        <w:rPr>
          <w:rFonts w:asciiTheme="majorBidi" w:hAnsiTheme="majorBidi" w:cstheme="majorBidi"/>
          <w:sz w:val="24"/>
          <w:szCs w:val="24"/>
        </w:rPr>
      </w:pPr>
    </w:p>
    <w:p w14:paraId="159A784A" w14:textId="619C70A1" w:rsidR="008379AE" w:rsidRDefault="008379AE" w:rsidP="0002629E">
      <w:pPr>
        <w:spacing w:line="480" w:lineRule="auto"/>
        <w:ind w:firstLine="720"/>
        <w:rPr>
          <w:rFonts w:asciiTheme="majorBidi" w:hAnsiTheme="majorBidi" w:cstheme="majorBidi"/>
          <w:sz w:val="24"/>
          <w:szCs w:val="24"/>
        </w:rPr>
      </w:pPr>
    </w:p>
    <w:p w14:paraId="4999CDFE" w14:textId="2C806CA1" w:rsidR="00D433F0" w:rsidRDefault="00D433F0" w:rsidP="0002629E">
      <w:pPr>
        <w:spacing w:line="480" w:lineRule="auto"/>
        <w:ind w:firstLine="720"/>
        <w:rPr>
          <w:rFonts w:asciiTheme="majorBidi" w:hAnsiTheme="majorBidi" w:cstheme="majorBidi"/>
          <w:sz w:val="24"/>
          <w:szCs w:val="24"/>
        </w:rPr>
      </w:pPr>
    </w:p>
    <w:p w14:paraId="55D430C8" w14:textId="77777777" w:rsidR="00D433F0" w:rsidRPr="0098127B" w:rsidRDefault="00D433F0" w:rsidP="0002629E">
      <w:pPr>
        <w:spacing w:line="480" w:lineRule="auto"/>
        <w:ind w:firstLine="720"/>
        <w:rPr>
          <w:rFonts w:asciiTheme="majorBidi" w:hAnsiTheme="majorBidi" w:cstheme="majorBidi"/>
          <w:sz w:val="24"/>
          <w:szCs w:val="24"/>
        </w:rPr>
      </w:pPr>
    </w:p>
    <w:p w14:paraId="0583DF1D" w14:textId="2F130486" w:rsidR="008379AE" w:rsidRPr="0098127B" w:rsidRDefault="008379AE" w:rsidP="0002629E">
      <w:pPr>
        <w:spacing w:line="480" w:lineRule="auto"/>
        <w:ind w:firstLine="720"/>
        <w:rPr>
          <w:rFonts w:asciiTheme="majorBidi" w:hAnsiTheme="majorBidi" w:cstheme="majorBidi"/>
          <w:sz w:val="24"/>
          <w:szCs w:val="24"/>
        </w:rPr>
      </w:pPr>
    </w:p>
    <w:p w14:paraId="689E86FD" w14:textId="5CF9436C" w:rsidR="008379AE" w:rsidRPr="0098127B" w:rsidRDefault="008379AE" w:rsidP="00D433F0">
      <w:pPr>
        <w:spacing w:line="480" w:lineRule="auto"/>
        <w:jc w:val="center"/>
        <w:rPr>
          <w:rFonts w:asciiTheme="majorBidi" w:hAnsiTheme="majorBidi" w:cstheme="majorBidi"/>
          <w:b/>
          <w:bCs/>
          <w:sz w:val="32"/>
          <w:szCs w:val="32"/>
        </w:rPr>
      </w:pPr>
      <w:r w:rsidRPr="0098127B">
        <w:rPr>
          <w:rFonts w:asciiTheme="majorBidi" w:hAnsiTheme="majorBidi" w:cstheme="majorBidi"/>
          <w:b/>
          <w:bCs/>
          <w:sz w:val="32"/>
          <w:szCs w:val="32"/>
        </w:rPr>
        <w:t>Chapter Three</w:t>
      </w:r>
      <w:r w:rsidR="00D433F0">
        <w:rPr>
          <w:rFonts w:asciiTheme="majorBidi" w:hAnsiTheme="majorBidi" w:cstheme="majorBidi"/>
          <w:b/>
          <w:bCs/>
          <w:sz w:val="32"/>
          <w:szCs w:val="32"/>
        </w:rPr>
        <w:t xml:space="preserve">: </w:t>
      </w:r>
      <w:r w:rsidRPr="0098127B">
        <w:rPr>
          <w:rFonts w:asciiTheme="majorBidi" w:hAnsiTheme="majorBidi" w:cstheme="majorBidi"/>
          <w:b/>
          <w:bCs/>
          <w:sz w:val="32"/>
          <w:szCs w:val="32"/>
        </w:rPr>
        <w:t>Methodology</w:t>
      </w:r>
    </w:p>
    <w:p w14:paraId="24AD8BE7" w14:textId="77777777" w:rsidR="008379AE" w:rsidRPr="0098127B" w:rsidRDefault="008379AE" w:rsidP="008379AE">
      <w:pPr>
        <w:spacing w:line="480" w:lineRule="auto"/>
        <w:rPr>
          <w:rFonts w:asciiTheme="majorBidi" w:hAnsiTheme="majorBidi" w:cstheme="majorBidi"/>
          <w:b/>
          <w:bCs/>
          <w:sz w:val="24"/>
          <w:szCs w:val="24"/>
        </w:rPr>
      </w:pPr>
    </w:p>
    <w:p w14:paraId="30DCD74A" w14:textId="77777777" w:rsidR="008379AE" w:rsidRPr="0098127B" w:rsidRDefault="008379AE" w:rsidP="008379AE">
      <w:pPr>
        <w:spacing w:line="480" w:lineRule="auto"/>
        <w:rPr>
          <w:rFonts w:asciiTheme="majorBidi" w:hAnsiTheme="majorBidi" w:cstheme="majorBidi"/>
          <w:b/>
          <w:bCs/>
          <w:sz w:val="24"/>
          <w:szCs w:val="24"/>
        </w:rPr>
      </w:pPr>
    </w:p>
    <w:p w14:paraId="233BF878" w14:textId="77777777" w:rsidR="008379AE" w:rsidRPr="0098127B" w:rsidRDefault="008379AE" w:rsidP="008379AE">
      <w:pPr>
        <w:spacing w:line="480" w:lineRule="auto"/>
        <w:rPr>
          <w:rFonts w:asciiTheme="majorBidi" w:hAnsiTheme="majorBidi" w:cstheme="majorBidi"/>
          <w:b/>
          <w:bCs/>
          <w:sz w:val="24"/>
          <w:szCs w:val="24"/>
        </w:rPr>
      </w:pPr>
    </w:p>
    <w:p w14:paraId="4EB7CB1D" w14:textId="77777777" w:rsidR="008379AE" w:rsidRPr="0098127B" w:rsidRDefault="008379AE" w:rsidP="008379AE">
      <w:pPr>
        <w:spacing w:line="480" w:lineRule="auto"/>
        <w:rPr>
          <w:rFonts w:asciiTheme="majorBidi" w:hAnsiTheme="majorBidi" w:cstheme="majorBidi"/>
          <w:b/>
          <w:bCs/>
          <w:sz w:val="24"/>
          <w:szCs w:val="24"/>
        </w:rPr>
      </w:pPr>
    </w:p>
    <w:p w14:paraId="7BF80839" w14:textId="77777777" w:rsidR="008379AE" w:rsidRPr="0098127B" w:rsidRDefault="008379AE" w:rsidP="008379AE">
      <w:pPr>
        <w:spacing w:line="480" w:lineRule="auto"/>
        <w:rPr>
          <w:rFonts w:asciiTheme="majorBidi" w:hAnsiTheme="majorBidi" w:cstheme="majorBidi"/>
          <w:b/>
          <w:bCs/>
          <w:sz w:val="24"/>
          <w:szCs w:val="24"/>
        </w:rPr>
      </w:pPr>
    </w:p>
    <w:p w14:paraId="75607A19" w14:textId="77777777" w:rsidR="008379AE" w:rsidRPr="0098127B" w:rsidRDefault="008379AE" w:rsidP="008379AE">
      <w:pPr>
        <w:spacing w:line="480" w:lineRule="auto"/>
        <w:rPr>
          <w:rFonts w:asciiTheme="majorBidi" w:hAnsiTheme="majorBidi" w:cstheme="majorBidi"/>
          <w:b/>
          <w:bCs/>
          <w:sz w:val="24"/>
          <w:szCs w:val="24"/>
        </w:rPr>
      </w:pPr>
    </w:p>
    <w:p w14:paraId="113919FB" w14:textId="77777777" w:rsidR="008379AE" w:rsidRPr="0098127B" w:rsidRDefault="008379AE" w:rsidP="008379AE">
      <w:pPr>
        <w:spacing w:line="480" w:lineRule="auto"/>
        <w:rPr>
          <w:rFonts w:asciiTheme="majorBidi" w:hAnsiTheme="majorBidi" w:cstheme="majorBidi"/>
          <w:b/>
          <w:bCs/>
          <w:sz w:val="24"/>
          <w:szCs w:val="24"/>
        </w:rPr>
      </w:pPr>
    </w:p>
    <w:p w14:paraId="56A66043" w14:textId="77777777" w:rsidR="008379AE" w:rsidRPr="0098127B" w:rsidRDefault="008379AE" w:rsidP="008379AE">
      <w:pPr>
        <w:spacing w:line="480" w:lineRule="auto"/>
        <w:rPr>
          <w:rFonts w:asciiTheme="majorBidi" w:hAnsiTheme="majorBidi" w:cstheme="majorBidi"/>
          <w:b/>
          <w:bCs/>
          <w:sz w:val="24"/>
          <w:szCs w:val="24"/>
        </w:rPr>
      </w:pPr>
    </w:p>
    <w:p w14:paraId="4FADB14D"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3.1 Introduction</w:t>
      </w:r>
    </w:p>
    <w:p w14:paraId="5577BA1A" w14:textId="1D2F14A7" w:rsidR="008379AE" w:rsidRPr="0098127B" w:rsidRDefault="008379AE"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This chapter contains the research design, which explains the study's overall approach and methods. It also shows the tools and materials that were used, such as the textbooks that were looked at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and the evaluation tool (the AbdelWahab checklist). The chapter goes into more detail about the steps taken to collect data, such as how the checklist was used to systematically analyze the textbooks. Finally, the data analysis section </w:t>
      </w:r>
      <w:r w:rsidR="00B34B52" w:rsidRPr="0098127B">
        <w:rPr>
          <w:rFonts w:asciiTheme="majorBidi" w:hAnsiTheme="majorBidi" w:cstheme="majorBidi"/>
          <w:sz w:val="24"/>
          <w:szCs w:val="24"/>
        </w:rPr>
        <w:t xml:space="preserve">explains </w:t>
      </w:r>
      <w:r w:rsidRPr="0098127B">
        <w:rPr>
          <w:rFonts w:asciiTheme="majorBidi" w:hAnsiTheme="majorBidi" w:cstheme="majorBidi"/>
          <w:sz w:val="24"/>
          <w:szCs w:val="24"/>
        </w:rPr>
        <w:t>how the data were sorted, counted, and understood so that the Iraqi and Iranian English language curricula could be compared in a reliable and useful way.</w:t>
      </w:r>
    </w:p>
    <w:p w14:paraId="6D2B5D32" w14:textId="50192C30" w:rsidR="008379AE" w:rsidRPr="00860506" w:rsidRDefault="008379AE" w:rsidP="008379AE">
      <w:pPr>
        <w:spacing w:line="480" w:lineRule="auto"/>
        <w:rPr>
          <w:rFonts w:asciiTheme="majorBidi" w:hAnsiTheme="majorBidi" w:cstheme="majorBidi"/>
          <w:b/>
          <w:bCs/>
          <w:sz w:val="24"/>
          <w:szCs w:val="24"/>
          <w:lang w:val="en-US"/>
        </w:rPr>
      </w:pPr>
      <w:r w:rsidRPr="0098127B">
        <w:rPr>
          <w:rFonts w:asciiTheme="majorBidi" w:hAnsiTheme="majorBidi" w:cstheme="majorBidi"/>
          <w:b/>
          <w:bCs/>
          <w:sz w:val="24"/>
          <w:szCs w:val="24"/>
        </w:rPr>
        <w:t>3.2 Design</w:t>
      </w:r>
      <w:r w:rsidR="00B92484">
        <w:rPr>
          <w:rFonts w:asciiTheme="majorBidi" w:hAnsiTheme="majorBidi" w:cstheme="majorBidi"/>
          <w:b/>
          <w:bCs/>
          <w:sz w:val="24"/>
          <w:szCs w:val="24"/>
        </w:rPr>
        <w:t xml:space="preserve"> of the Study </w:t>
      </w:r>
    </w:p>
    <w:p w14:paraId="33A33AA1" w14:textId="386CB48B" w:rsidR="008379AE" w:rsidRPr="0098127B" w:rsidRDefault="008379AE"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present research embraces a </w:t>
      </w:r>
      <w:r w:rsidR="00B34B52" w:rsidRPr="0098127B">
        <w:rPr>
          <w:rFonts w:asciiTheme="majorBidi" w:hAnsiTheme="majorBidi" w:cstheme="majorBidi"/>
          <w:sz w:val="24"/>
          <w:szCs w:val="24"/>
        </w:rPr>
        <w:t xml:space="preserve">qualitative </w:t>
      </w:r>
      <w:r w:rsidRPr="0098127B">
        <w:rPr>
          <w:rFonts w:asciiTheme="majorBidi" w:hAnsiTheme="majorBidi" w:cstheme="majorBidi"/>
          <w:sz w:val="24"/>
          <w:szCs w:val="24"/>
        </w:rPr>
        <w:t>research design and uses a type of descriptive content analysis to examine and contrast the English language curriculum content found in Iraq's and Iran's secondary school textbooks. A qualitative approach is suitable for this research as it allows a deeper, interpretive study of textual and imagery resources so that the researcher can identify a range of meanings, teaching priorities and cultural references represented in the textbooks.</w:t>
      </w:r>
    </w:p>
    <w:p w14:paraId="180D08E2" w14:textId="77777777" w:rsidR="008379AE" w:rsidRPr="0098127B" w:rsidRDefault="008379AE" w:rsidP="008379AE">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Qualitative research is exploratory and interpretative by nature which is appropriate for the study of educational documents, such as textbooks, where the focus is to explore how and why the content is presented and not on quantitative measures. This study uses qualitative content analysis to systematically categorize and interpret themes in two distinct national textbook series,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structured by an evaluation framework. A content analysis involves processes for identifying repeated concepts, teaching patterns, and collated cultural hints that cannot be encapsulated through quantitative methods.</w:t>
      </w:r>
    </w:p>
    <w:p w14:paraId="471A8A23" w14:textId="16A58405" w:rsidR="008379AE" w:rsidRPr="0098127B" w:rsidRDefault="008379AE" w:rsidP="008379AE">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Moreover, qualitative design also contributes to the ability to understand context, which is important for cross-national comparative studies. Textbooks portray a more </w:t>
      </w:r>
      <w:r w:rsidRPr="0098127B">
        <w:rPr>
          <w:rFonts w:asciiTheme="majorBidi" w:hAnsiTheme="majorBidi" w:cstheme="majorBidi"/>
          <w:sz w:val="24"/>
          <w:szCs w:val="24"/>
        </w:rPr>
        <w:lastRenderedPageBreak/>
        <w:t>significant educational ideologies, social norms, and national priorities. Therefore, qualitative</w:t>
      </w:r>
      <w:r w:rsidR="0068434C" w:rsidRPr="0098127B">
        <w:rPr>
          <w:rFonts w:asciiTheme="majorBidi" w:hAnsiTheme="majorBidi" w:cstheme="majorBidi"/>
          <w:sz w:val="24"/>
          <w:szCs w:val="24"/>
        </w:rPr>
        <w:t xml:space="preserve"> analysis</w:t>
      </w:r>
      <w:r w:rsidRPr="0098127B">
        <w:rPr>
          <w:rFonts w:asciiTheme="majorBidi" w:hAnsiTheme="majorBidi" w:cstheme="majorBidi"/>
          <w:sz w:val="24"/>
          <w:szCs w:val="24"/>
        </w:rPr>
        <w:t xml:space="preserve"> would help provide the means to interpret the context in order to allow for reasonable comparisons between the Iraqi and Iranian educational contexts.</w:t>
      </w:r>
    </w:p>
    <w:p w14:paraId="603237DB"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3.3 Instruments and Materials</w:t>
      </w:r>
    </w:p>
    <w:p w14:paraId="0195AFEB"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3.3.1 English for Iraq</w:t>
      </w:r>
    </w:p>
    <w:p w14:paraId="668A784D" w14:textId="77777777" w:rsidR="008379AE" w:rsidRPr="0098127B" w:rsidRDefault="008379AE"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textbook series,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is the official English language curriculum for students who are in the intermediate level (7th-9th grades) in secondary schools in Iraq. The series is comprised of three levels First Intermediate, Second Intermediate, and Third Intermediate, and are used throughout the instruction in Iraq as the official resources for student learning. All the textbooks in the series were written by Terry O'Neill and Peter Snow and published by Garnet Educational in 2017. The series is the product of an initiative authored by foreigners to aid in making English instruction equitable in the Iraqi education system.</w:t>
      </w:r>
    </w:p>
    <w:p w14:paraId="69360913"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Table 3.1</w:t>
      </w:r>
    </w:p>
    <w:p w14:paraId="590700CE" w14:textId="77777777" w:rsidR="008379AE" w:rsidRPr="0098127B" w:rsidRDefault="008379AE" w:rsidP="008379AE">
      <w:pPr>
        <w:spacing w:line="480" w:lineRule="auto"/>
        <w:rPr>
          <w:rFonts w:asciiTheme="majorBidi" w:hAnsiTheme="majorBidi" w:cstheme="majorBidi"/>
          <w:i/>
          <w:iCs/>
          <w:sz w:val="24"/>
          <w:szCs w:val="24"/>
        </w:rPr>
      </w:pPr>
      <w:r w:rsidRPr="0098127B">
        <w:rPr>
          <w:rFonts w:asciiTheme="majorBidi" w:hAnsiTheme="majorBidi" w:cstheme="majorBidi"/>
          <w:i/>
          <w:iCs/>
          <w:sz w:val="24"/>
          <w:szCs w:val="24"/>
        </w:rPr>
        <w:t>English for Iraq Series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2994"/>
        <w:gridCol w:w="3015"/>
      </w:tblGrid>
      <w:tr w:rsidR="008379AE" w:rsidRPr="0098127B" w14:paraId="657D8E34" w14:textId="77777777" w:rsidTr="00626D16">
        <w:tc>
          <w:tcPr>
            <w:tcW w:w="3116" w:type="dxa"/>
            <w:tcBorders>
              <w:top w:val="single" w:sz="4" w:space="0" w:color="auto"/>
              <w:bottom w:val="single" w:sz="4" w:space="0" w:color="auto"/>
            </w:tcBorders>
          </w:tcPr>
          <w:p w14:paraId="7CB6D60B"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Textbook </w:t>
            </w:r>
          </w:p>
        </w:tc>
        <w:tc>
          <w:tcPr>
            <w:tcW w:w="3117" w:type="dxa"/>
            <w:tcBorders>
              <w:top w:val="single" w:sz="4" w:space="0" w:color="auto"/>
              <w:bottom w:val="single" w:sz="4" w:space="0" w:color="auto"/>
            </w:tcBorders>
          </w:tcPr>
          <w:p w14:paraId="0D3E63D4"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Authors</w:t>
            </w:r>
          </w:p>
        </w:tc>
        <w:tc>
          <w:tcPr>
            <w:tcW w:w="3117" w:type="dxa"/>
            <w:tcBorders>
              <w:top w:val="single" w:sz="4" w:space="0" w:color="auto"/>
              <w:bottom w:val="single" w:sz="4" w:space="0" w:color="auto"/>
            </w:tcBorders>
          </w:tcPr>
          <w:p w14:paraId="2D886AFF"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Publisher</w:t>
            </w:r>
          </w:p>
        </w:tc>
      </w:tr>
      <w:tr w:rsidR="008379AE" w:rsidRPr="0098127B" w14:paraId="04380645" w14:textId="77777777" w:rsidTr="00626D16">
        <w:tc>
          <w:tcPr>
            <w:tcW w:w="3116" w:type="dxa"/>
            <w:tcBorders>
              <w:top w:val="single" w:sz="4" w:space="0" w:color="auto"/>
            </w:tcBorders>
          </w:tcPr>
          <w:p w14:paraId="1CC54B5E"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First Intermediate </w:t>
            </w:r>
          </w:p>
        </w:tc>
        <w:tc>
          <w:tcPr>
            <w:tcW w:w="3117" w:type="dxa"/>
            <w:tcBorders>
              <w:top w:val="single" w:sz="4" w:space="0" w:color="auto"/>
            </w:tcBorders>
          </w:tcPr>
          <w:p w14:paraId="57E90CE5"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Terry O’Neill, Peter Snow</w:t>
            </w:r>
          </w:p>
        </w:tc>
        <w:tc>
          <w:tcPr>
            <w:tcW w:w="3117" w:type="dxa"/>
            <w:tcBorders>
              <w:top w:val="single" w:sz="4" w:space="0" w:color="auto"/>
            </w:tcBorders>
          </w:tcPr>
          <w:p w14:paraId="22A08C6D"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Garnet Educational (2017)</w:t>
            </w:r>
          </w:p>
        </w:tc>
      </w:tr>
      <w:tr w:rsidR="008379AE" w:rsidRPr="0098127B" w14:paraId="7B55A8AC" w14:textId="77777777" w:rsidTr="00626D16">
        <w:tc>
          <w:tcPr>
            <w:tcW w:w="3116" w:type="dxa"/>
          </w:tcPr>
          <w:p w14:paraId="74554248"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Second Intermediate </w:t>
            </w:r>
          </w:p>
        </w:tc>
        <w:tc>
          <w:tcPr>
            <w:tcW w:w="3117" w:type="dxa"/>
          </w:tcPr>
          <w:p w14:paraId="05DCAD5C"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Terry O’Neill, Peter Snow</w:t>
            </w:r>
          </w:p>
        </w:tc>
        <w:tc>
          <w:tcPr>
            <w:tcW w:w="3117" w:type="dxa"/>
          </w:tcPr>
          <w:p w14:paraId="7DF356CB"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Garnet Educational (2017)</w:t>
            </w:r>
          </w:p>
        </w:tc>
      </w:tr>
      <w:tr w:rsidR="008379AE" w:rsidRPr="0098127B" w14:paraId="4CB5901B" w14:textId="77777777" w:rsidTr="00626D16">
        <w:tc>
          <w:tcPr>
            <w:tcW w:w="3116" w:type="dxa"/>
          </w:tcPr>
          <w:p w14:paraId="2034C34D"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Third Intermediate </w:t>
            </w:r>
          </w:p>
        </w:tc>
        <w:tc>
          <w:tcPr>
            <w:tcW w:w="3117" w:type="dxa"/>
          </w:tcPr>
          <w:p w14:paraId="23351B58"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Terry O’Neill, Peter Snow</w:t>
            </w:r>
          </w:p>
        </w:tc>
        <w:tc>
          <w:tcPr>
            <w:tcW w:w="3117" w:type="dxa"/>
          </w:tcPr>
          <w:p w14:paraId="4766C58D"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Garnet Educational (2017)</w:t>
            </w:r>
          </w:p>
        </w:tc>
      </w:tr>
    </w:tbl>
    <w:p w14:paraId="6C664C80" w14:textId="77777777" w:rsidR="008379AE" w:rsidRPr="0098127B" w:rsidRDefault="008379AE" w:rsidP="008379AE">
      <w:pPr>
        <w:spacing w:line="480" w:lineRule="auto"/>
        <w:rPr>
          <w:rFonts w:asciiTheme="majorBidi" w:hAnsiTheme="majorBidi" w:cstheme="majorBidi"/>
          <w:sz w:val="24"/>
          <w:szCs w:val="24"/>
        </w:rPr>
      </w:pPr>
    </w:p>
    <w:p w14:paraId="2B91AB89" w14:textId="77777777" w:rsidR="008379AE" w:rsidRDefault="008379AE" w:rsidP="009E4A66">
      <w:pPr>
        <w:spacing w:line="480" w:lineRule="auto"/>
        <w:rPr>
          <w:rFonts w:asciiTheme="majorBidi" w:hAnsiTheme="majorBidi" w:cstheme="majorBidi"/>
          <w:sz w:val="24"/>
          <w:szCs w:val="24"/>
        </w:rPr>
      </w:pPr>
      <w:r w:rsidRPr="0098127B">
        <w:rPr>
          <w:rFonts w:asciiTheme="majorBidi" w:hAnsiTheme="majorBidi" w:cstheme="majorBidi"/>
          <w:sz w:val="24"/>
          <w:szCs w:val="24"/>
        </w:rPr>
        <w:t>The data for this study focuses solely on the three Student’s Books and their associated Activity Books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and did not include other materials such as teacher’s guides, audio files, and videos, as these resources only replicate the written texts and images contained in the main texts. Each textbook consists of eight teaching units, and there are </w:t>
      </w:r>
      <w:r w:rsidRPr="0098127B">
        <w:rPr>
          <w:rFonts w:asciiTheme="majorBidi" w:hAnsiTheme="majorBidi" w:cstheme="majorBidi"/>
          <w:sz w:val="24"/>
          <w:szCs w:val="24"/>
        </w:rPr>
        <w:lastRenderedPageBreak/>
        <w:t>typically ten lessons within each unit; this means that there are also 24 units across these three books, which was taken as the complete data set.</w:t>
      </w:r>
    </w:p>
    <w:p w14:paraId="53448C0B" w14:textId="77777777" w:rsidR="00860506" w:rsidRPr="00860506" w:rsidRDefault="00860506" w:rsidP="00860506">
      <w:pPr>
        <w:spacing w:line="480" w:lineRule="auto"/>
        <w:ind w:firstLine="720"/>
        <w:rPr>
          <w:rFonts w:asciiTheme="majorBidi" w:hAnsiTheme="majorBidi" w:cstheme="majorBidi"/>
          <w:sz w:val="24"/>
          <w:szCs w:val="24"/>
          <w:lang w:val="en-US"/>
        </w:rPr>
      </w:pPr>
      <w:r w:rsidRPr="00860506">
        <w:rPr>
          <w:rFonts w:asciiTheme="majorBidi" w:hAnsiTheme="majorBidi" w:cstheme="majorBidi"/>
          <w:sz w:val="24"/>
          <w:szCs w:val="24"/>
          <w:lang w:val="en-US"/>
        </w:rPr>
        <w:t xml:space="preserve">The </w:t>
      </w:r>
      <w:r w:rsidRPr="00860506">
        <w:rPr>
          <w:rFonts w:asciiTheme="majorBidi" w:hAnsiTheme="majorBidi" w:cstheme="majorBidi"/>
          <w:i/>
          <w:iCs/>
          <w:sz w:val="24"/>
          <w:szCs w:val="24"/>
          <w:lang w:val="en-US"/>
        </w:rPr>
        <w:t>English for Iraq</w:t>
      </w:r>
      <w:r w:rsidRPr="00860506">
        <w:rPr>
          <w:rFonts w:asciiTheme="majorBidi" w:hAnsiTheme="majorBidi" w:cstheme="majorBidi"/>
          <w:sz w:val="24"/>
          <w:szCs w:val="24"/>
          <w:lang w:val="en-US"/>
        </w:rPr>
        <w:t xml:space="preserve"> Grade 9 textbook is part of a broader curriculum initiative launched to modernize English language instruction in Iraq, particularly following the 2003 educational reforms.</w:t>
      </w:r>
    </w:p>
    <w:p w14:paraId="07BD6FEB" w14:textId="77777777" w:rsidR="00860506" w:rsidRPr="00860506" w:rsidRDefault="00860506" w:rsidP="00860506">
      <w:pPr>
        <w:spacing w:line="480" w:lineRule="auto"/>
        <w:ind w:firstLine="720"/>
        <w:rPr>
          <w:rFonts w:asciiTheme="majorBidi" w:hAnsiTheme="majorBidi" w:cstheme="majorBidi"/>
          <w:sz w:val="24"/>
          <w:szCs w:val="24"/>
          <w:lang w:val="en-US"/>
        </w:rPr>
      </w:pPr>
      <w:r w:rsidRPr="00860506">
        <w:rPr>
          <w:rFonts w:asciiTheme="majorBidi" w:hAnsiTheme="majorBidi" w:cstheme="majorBidi"/>
          <w:sz w:val="24"/>
          <w:szCs w:val="24"/>
        </w:rPr>
        <w:t xml:space="preserve">It has been published by a group of international publishers working together to create educational materials for people living in the Middle East. The textbook is based on the idea of Communicative Language Teaching (CLT) and is written to incorporate those principles into the ways that local schools are teaching English as well as being culturally relevant to and responsive to the needs of Iraq's schools. The Grade 9 textbook has been written to cover nine units, with each unit built around a central theme. Each unit incorporates the use of vocabulary, grammar, reading, writing, speaking and listening integrated into all unit activities. Therefore, the goal of the </w:t>
      </w:r>
      <w:r w:rsidRPr="00860506">
        <w:rPr>
          <w:rFonts w:asciiTheme="majorBidi" w:hAnsiTheme="majorBidi" w:cstheme="majorBidi"/>
          <w:i/>
          <w:iCs/>
          <w:sz w:val="24"/>
          <w:szCs w:val="24"/>
        </w:rPr>
        <w:t>English for Iraq</w:t>
      </w:r>
      <w:r w:rsidRPr="00860506">
        <w:rPr>
          <w:rFonts w:asciiTheme="majorBidi" w:hAnsiTheme="majorBidi" w:cstheme="majorBidi"/>
          <w:sz w:val="24"/>
          <w:szCs w:val="24"/>
        </w:rPr>
        <w:t xml:space="preserve"> curriculum is to help improve the communicative competence of students through a systematic development of the four primary language skills (reading, writing, speaking and listening). However, particular emphasis is placed on developing the reading and grammar skill as those are the skills most reflective of the expectations of the exams required by the state of Iraq's education system. </w:t>
      </w:r>
    </w:p>
    <w:p w14:paraId="097B4FC2" w14:textId="77777777" w:rsidR="00860506" w:rsidRPr="00860506" w:rsidRDefault="00860506" w:rsidP="00860506">
      <w:pPr>
        <w:spacing w:line="480" w:lineRule="auto"/>
        <w:ind w:firstLine="720"/>
        <w:rPr>
          <w:rFonts w:asciiTheme="majorBidi" w:hAnsiTheme="majorBidi" w:cstheme="majorBidi"/>
          <w:sz w:val="24"/>
          <w:szCs w:val="24"/>
          <w:lang w:val="en-US"/>
        </w:rPr>
      </w:pPr>
      <w:r w:rsidRPr="00860506">
        <w:rPr>
          <w:rFonts w:asciiTheme="majorBidi" w:hAnsiTheme="majorBidi" w:cstheme="majorBidi"/>
          <w:sz w:val="24"/>
          <w:szCs w:val="24"/>
        </w:rPr>
        <w:t>The cultural content of the material has limited depth. Most cultural representations are from local cultures and include things such as traditional food, clothing and local cultural customs and there is no international or comparative perspective included. Examples of supplementary materials include a brief section summarizing each unit, a grammar reference chart and visuals to provide additional support for comprehension. However, the format of most supplementary materials favour functionality over engagement.</w:t>
      </w:r>
    </w:p>
    <w:p w14:paraId="02FA39D5" w14:textId="5AAF8098" w:rsidR="00860506" w:rsidRPr="0098127B" w:rsidRDefault="00860506" w:rsidP="00860506">
      <w:pPr>
        <w:spacing w:line="480" w:lineRule="auto"/>
        <w:ind w:firstLine="720"/>
        <w:rPr>
          <w:rFonts w:asciiTheme="majorBidi" w:hAnsiTheme="majorBidi" w:cstheme="majorBidi"/>
          <w:sz w:val="24"/>
          <w:szCs w:val="24"/>
        </w:rPr>
      </w:pPr>
      <w:r w:rsidRPr="00860506">
        <w:rPr>
          <w:rFonts w:asciiTheme="majorBidi" w:hAnsiTheme="majorBidi" w:cstheme="majorBidi"/>
          <w:sz w:val="24"/>
          <w:szCs w:val="24"/>
          <w:lang w:val="en-US"/>
        </w:rPr>
        <w:lastRenderedPageBreak/>
        <w:t xml:space="preserve">Overall, </w:t>
      </w:r>
      <w:r w:rsidRPr="00860506">
        <w:rPr>
          <w:rFonts w:asciiTheme="majorBidi" w:hAnsiTheme="majorBidi" w:cstheme="majorBidi"/>
          <w:i/>
          <w:iCs/>
          <w:sz w:val="24"/>
          <w:szCs w:val="24"/>
          <w:lang w:val="en-US"/>
        </w:rPr>
        <w:t>English for Iraq</w:t>
      </w:r>
      <w:r w:rsidRPr="00860506">
        <w:rPr>
          <w:rFonts w:asciiTheme="majorBidi" w:hAnsiTheme="majorBidi" w:cstheme="majorBidi"/>
          <w:sz w:val="24"/>
          <w:szCs w:val="24"/>
          <w:lang w:val="en-US"/>
        </w:rPr>
        <w:t xml:space="preserve"> Grade 9 is a step toward combining international curriculum models with content that is more relevant to Iraq. The textbook shows some signs of following modern teaching trends, but it still follows a linear structure and focuses heavily on grammar translation and reading tasks. This may make it less compatible with more dynamic, communicative models of English language teaching.</w:t>
      </w:r>
    </w:p>
    <w:p w14:paraId="0E6E62F1"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3.3.2 Prospect</w:t>
      </w:r>
    </w:p>
    <w:p w14:paraId="3BD6658F" w14:textId="77777777" w:rsidR="008379AE" w:rsidRPr="0098127B" w:rsidRDefault="008379AE" w:rsidP="008930DE">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The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is a collection of English language textbooks created for Iranian secondary school students in grades 7 to 9. Under the auspices of Iran’s Ministry of Education, these texts are printed as part of a larger academic reform to enhance students' communicative development in English. The reform is meant to improve English outcomes from the restrictions of a grammar-translation methodology, assumed less skill-integrated and more communicative and collaborative in style.</w:t>
      </w:r>
    </w:p>
    <w:p w14:paraId="2B02E6A8" w14:textId="77777777" w:rsidR="008379AE" w:rsidRPr="0098127B" w:rsidRDefault="008379AE" w:rsidP="008379AE">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The series is composed of three parts: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w:t>
      </w:r>
      <w:r w:rsidRPr="0098127B">
        <w:rPr>
          <w:rFonts w:asciiTheme="majorBidi" w:hAnsiTheme="majorBidi" w:cstheme="majorBidi"/>
          <w:i/>
          <w:iCs/>
          <w:sz w:val="24"/>
          <w:szCs w:val="24"/>
        </w:rPr>
        <w:t>1</w:t>
      </w:r>
      <w:r w:rsidRPr="0098127B">
        <w:rPr>
          <w:rFonts w:asciiTheme="majorBidi" w:hAnsiTheme="majorBidi" w:cstheme="majorBidi"/>
          <w:sz w:val="24"/>
          <w:szCs w:val="24"/>
        </w:rPr>
        <w:t xml:space="preserve"> for Grade 7,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w:t>
      </w:r>
      <w:r w:rsidRPr="0098127B">
        <w:rPr>
          <w:rFonts w:asciiTheme="majorBidi" w:hAnsiTheme="majorBidi" w:cstheme="majorBidi"/>
          <w:i/>
          <w:iCs/>
          <w:sz w:val="24"/>
          <w:szCs w:val="24"/>
        </w:rPr>
        <w:t>2</w:t>
      </w:r>
      <w:r w:rsidRPr="0098127B">
        <w:rPr>
          <w:rFonts w:asciiTheme="majorBidi" w:hAnsiTheme="majorBidi" w:cstheme="majorBidi"/>
          <w:sz w:val="24"/>
          <w:szCs w:val="24"/>
        </w:rPr>
        <w:t xml:space="preserve"> for Grade 8, and </w:t>
      </w:r>
      <w:r w:rsidRPr="0098127B">
        <w:rPr>
          <w:rFonts w:asciiTheme="majorBidi" w:hAnsiTheme="majorBidi" w:cstheme="majorBidi"/>
          <w:i/>
          <w:iCs/>
          <w:sz w:val="24"/>
          <w:szCs w:val="24"/>
        </w:rPr>
        <w:t>Prospect 3</w:t>
      </w:r>
      <w:r w:rsidRPr="0098127B">
        <w:rPr>
          <w:rFonts w:asciiTheme="majorBidi" w:hAnsiTheme="majorBidi" w:cstheme="majorBidi"/>
          <w:sz w:val="24"/>
          <w:szCs w:val="24"/>
        </w:rPr>
        <w:t xml:space="preserve"> for Grade 9. All textbooks contain units organized around themes that integrate the four language skills by meaningfully relating listening, speaking, reading and writing, while also having grammar and vocabulary development within communicative contexts. These textbooks contain student-centered materials designed to provide students with authentic knowledge that is pedagogically sound and culturally relevant, hence combining values and perspectives from local Iran with world topics to increase learners’ intercultural awareness.</w:t>
      </w:r>
    </w:p>
    <w:p w14:paraId="0AE8F131" w14:textId="241682DC" w:rsidR="00D433F0" w:rsidRPr="0098127B" w:rsidRDefault="008379AE" w:rsidP="00266634">
      <w:pPr>
        <w:spacing w:line="480" w:lineRule="auto"/>
        <w:ind w:firstLine="720"/>
        <w:rPr>
          <w:rFonts w:asciiTheme="majorBidi" w:hAnsiTheme="majorBidi" w:cstheme="majorBidi"/>
          <w:sz w:val="24"/>
          <w:szCs w:val="24"/>
        </w:rPr>
      </w:pPr>
      <w:r w:rsidRPr="0098127B">
        <w:rPr>
          <w:rFonts w:asciiTheme="majorBidi" w:hAnsiTheme="majorBidi" w:cstheme="majorBidi"/>
          <w:sz w:val="24"/>
          <w:szCs w:val="24"/>
        </w:rPr>
        <w:t xml:space="preserve">In addition to the main text books, there also activity books and teacher's guides with extra exercises and teaching ideas. These additional materials would enable and reinforce student-centered and task-centered learning in the classroom. There is a clear consciousness in terms of design and layout in the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as part of an explicit attempt to </w:t>
      </w:r>
      <w:r w:rsidRPr="0098127B">
        <w:rPr>
          <w:rFonts w:asciiTheme="majorBidi" w:hAnsiTheme="majorBidi" w:cstheme="majorBidi"/>
          <w:sz w:val="24"/>
          <w:szCs w:val="24"/>
        </w:rPr>
        <w:lastRenderedPageBreak/>
        <w:t>modernize the teaching of English in Iranian schools to promote an active use of the language in relevant life experiences.</w:t>
      </w:r>
    </w:p>
    <w:p w14:paraId="1EFCEBF0"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Table 3.2</w:t>
      </w:r>
    </w:p>
    <w:p w14:paraId="67F41679" w14:textId="77777777" w:rsidR="008379AE" w:rsidRPr="0098127B" w:rsidRDefault="008379AE" w:rsidP="008379AE">
      <w:pPr>
        <w:spacing w:line="480" w:lineRule="auto"/>
        <w:rPr>
          <w:rFonts w:asciiTheme="majorBidi" w:hAnsiTheme="majorBidi" w:cstheme="majorBidi"/>
          <w:i/>
          <w:iCs/>
          <w:sz w:val="24"/>
          <w:szCs w:val="24"/>
        </w:rPr>
      </w:pPr>
      <w:r w:rsidRPr="0098127B">
        <w:rPr>
          <w:rFonts w:asciiTheme="majorBidi" w:hAnsiTheme="majorBidi" w:cstheme="majorBidi"/>
          <w:i/>
          <w:iCs/>
          <w:sz w:val="24"/>
          <w:szCs w:val="24"/>
        </w:rPr>
        <w:t>Prospect Series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3824"/>
        <w:gridCol w:w="3782"/>
      </w:tblGrid>
      <w:tr w:rsidR="008379AE" w:rsidRPr="0098127B" w14:paraId="16237497" w14:textId="77777777" w:rsidTr="00626D16">
        <w:tc>
          <w:tcPr>
            <w:tcW w:w="1440" w:type="dxa"/>
            <w:tcBorders>
              <w:top w:val="single" w:sz="4" w:space="0" w:color="auto"/>
              <w:bottom w:val="single" w:sz="4" w:space="0" w:color="auto"/>
            </w:tcBorders>
          </w:tcPr>
          <w:p w14:paraId="1A0F1A51"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 xml:space="preserve">Textbook </w:t>
            </w:r>
          </w:p>
        </w:tc>
        <w:tc>
          <w:tcPr>
            <w:tcW w:w="3960" w:type="dxa"/>
            <w:tcBorders>
              <w:top w:val="single" w:sz="4" w:space="0" w:color="auto"/>
              <w:bottom w:val="single" w:sz="4" w:space="0" w:color="auto"/>
            </w:tcBorders>
          </w:tcPr>
          <w:p w14:paraId="507160A7"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Authors</w:t>
            </w:r>
          </w:p>
        </w:tc>
        <w:tc>
          <w:tcPr>
            <w:tcW w:w="3950" w:type="dxa"/>
            <w:tcBorders>
              <w:top w:val="single" w:sz="4" w:space="0" w:color="auto"/>
              <w:bottom w:val="single" w:sz="4" w:space="0" w:color="auto"/>
            </w:tcBorders>
          </w:tcPr>
          <w:p w14:paraId="2895CE98"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Publisher</w:t>
            </w:r>
          </w:p>
        </w:tc>
      </w:tr>
      <w:tr w:rsidR="008379AE" w:rsidRPr="0098127B" w14:paraId="6ED3C7C4" w14:textId="77777777" w:rsidTr="00626D16">
        <w:tc>
          <w:tcPr>
            <w:tcW w:w="1440" w:type="dxa"/>
            <w:tcBorders>
              <w:top w:val="single" w:sz="4" w:space="0" w:color="auto"/>
            </w:tcBorders>
          </w:tcPr>
          <w:p w14:paraId="693C7063" w14:textId="77777777" w:rsidR="008379AE" w:rsidRPr="0098127B" w:rsidRDefault="008379AE" w:rsidP="00626D16">
            <w:pPr>
              <w:spacing w:line="480" w:lineRule="auto"/>
              <w:rPr>
                <w:rFonts w:asciiTheme="majorBidi" w:hAnsiTheme="majorBidi" w:cstheme="majorBidi"/>
                <w:sz w:val="24"/>
                <w:szCs w:val="24"/>
              </w:rPr>
            </w:pPr>
            <w:bookmarkStart w:id="5" w:name="_Hlk198931178"/>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w:t>
            </w:r>
            <w:bookmarkEnd w:id="5"/>
            <w:r w:rsidRPr="0098127B">
              <w:rPr>
                <w:rFonts w:asciiTheme="majorBidi" w:hAnsiTheme="majorBidi" w:cstheme="majorBidi"/>
                <w:sz w:val="24"/>
                <w:szCs w:val="24"/>
              </w:rPr>
              <w:t>1</w:t>
            </w:r>
          </w:p>
        </w:tc>
        <w:tc>
          <w:tcPr>
            <w:tcW w:w="3960" w:type="dxa"/>
            <w:tcBorders>
              <w:top w:val="single" w:sz="4" w:space="0" w:color="auto"/>
            </w:tcBorders>
          </w:tcPr>
          <w:p w14:paraId="4EB07442"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Alavimoghadam</w:t>
            </w:r>
            <w:r w:rsidRPr="0098127B">
              <w:t xml:space="preserve"> </w:t>
            </w:r>
            <w:r w:rsidRPr="0098127B">
              <w:rPr>
                <w:rFonts w:asciiTheme="majorBidi" w:hAnsiTheme="majorBidi" w:cstheme="majorBidi"/>
                <w:sz w:val="24"/>
                <w:szCs w:val="24"/>
              </w:rPr>
              <w:t>et al.</w:t>
            </w:r>
            <w:r w:rsidRPr="0098127B">
              <w:rPr>
                <w:rFonts w:asciiTheme="majorBidi" w:hAnsiTheme="majorBidi" w:cstheme="majorBidi"/>
                <w:sz w:val="24"/>
                <w:szCs w:val="24"/>
              </w:rPr>
              <w:tab/>
            </w:r>
          </w:p>
        </w:tc>
        <w:tc>
          <w:tcPr>
            <w:tcW w:w="3950" w:type="dxa"/>
            <w:tcBorders>
              <w:top w:val="single" w:sz="4" w:space="0" w:color="auto"/>
            </w:tcBorders>
          </w:tcPr>
          <w:p w14:paraId="6268F033"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Iran School Books Publication Company</w:t>
            </w:r>
          </w:p>
        </w:tc>
      </w:tr>
      <w:tr w:rsidR="008379AE" w:rsidRPr="0098127B" w14:paraId="4651176C" w14:textId="77777777" w:rsidTr="00626D16">
        <w:tc>
          <w:tcPr>
            <w:tcW w:w="1440" w:type="dxa"/>
          </w:tcPr>
          <w:p w14:paraId="4DA391FA"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2</w:t>
            </w:r>
          </w:p>
        </w:tc>
        <w:tc>
          <w:tcPr>
            <w:tcW w:w="3960" w:type="dxa"/>
          </w:tcPr>
          <w:p w14:paraId="172413B1"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Alavimoghadam</w:t>
            </w:r>
            <w:r w:rsidRPr="0098127B">
              <w:t xml:space="preserve"> </w:t>
            </w:r>
            <w:r w:rsidRPr="0098127B">
              <w:rPr>
                <w:rFonts w:asciiTheme="majorBidi" w:hAnsiTheme="majorBidi" w:cstheme="majorBidi"/>
                <w:sz w:val="24"/>
                <w:szCs w:val="24"/>
              </w:rPr>
              <w:t>et al.</w:t>
            </w:r>
          </w:p>
        </w:tc>
        <w:tc>
          <w:tcPr>
            <w:tcW w:w="3950" w:type="dxa"/>
          </w:tcPr>
          <w:p w14:paraId="5E14280B"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Iran School Books Publication Company</w:t>
            </w:r>
          </w:p>
        </w:tc>
      </w:tr>
      <w:tr w:rsidR="008379AE" w:rsidRPr="0098127B" w14:paraId="7B11CB28" w14:textId="77777777" w:rsidTr="00626D16">
        <w:tc>
          <w:tcPr>
            <w:tcW w:w="1440" w:type="dxa"/>
          </w:tcPr>
          <w:p w14:paraId="2FFC5384"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3</w:t>
            </w:r>
          </w:p>
        </w:tc>
        <w:tc>
          <w:tcPr>
            <w:tcW w:w="3960" w:type="dxa"/>
          </w:tcPr>
          <w:p w14:paraId="7E1CBB27"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Alavimoghadam et al.</w:t>
            </w:r>
            <w:r w:rsidRPr="0098127B">
              <w:rPr>
                <w:rFonts w:asciiTheme="majorBidi" w:hAnsiTheme="majorBidi" w:cstheme="majorBidi"/>
                <w:sz w:val="24"/>
                <w:szCs w:val="24"/>
              </w:rPr>
              <w:tab/>
            </w:r>
          </w:p>
        </w:tc>
        <w:tc>
          <w:tcPr>
            <w:tcW w:w="3950" w:type="dxa"/>
          </w:tcPr>
          <w:p w14:paraId="2F44BCF5" w14:textId="77777777" w:rsidR="008379AE" w:rsidRPr="0098127B" w:rsidRDefault="008379AE" w:rsidP="00626D16">
            <w:pPr>
              <w:spacing w:line="480" w:lineRule="auto"/>
              <w:rPr>
                <w:rFonts w:asciiTheme="majorBidi" w:hAnsiTheme="majorBidi" w:cstheme="majorBidi"/>
                <w:sz w:val="24"/>
                <w:szCs w:val="24"/>
              </w:rPr>
            </w:pPr>
            <w:r w:rsidRPr="0098127B">
              <w:rPr>
                <w:rFonts w:asciiTheme="majorBidi" w:hAnsiTheme="majorBidi" w:cstheme="majorBidi"/>
                <w:sz w:val="24"/>
                <w:szCs w:val="24"/>
              </w:rPr>
              <w:t>Iran School Books Publication Company</w:t>
            </w:r>
          </w:p>
        </w:tc>
      </w:tr>
    </w:tbl>
    <w:p w14:paraId="74ABBAA9" w14:textId="77777777" w:rsidR="008379AE" w:rsidRPr="0098127B" w:rsidRDefault="008379AE" w:rsidP="008379AE">
      <w:pPr>
        <w:spacing w:line="480" w:lineRule="auto"/>
        <w:rPr>
          <w:rFonts w:asciiTheme="majorBidi" w:hAnsiTheme="majorBidi" w:cstheme="majorBidi"/>
          <w:sz w:val="24"/>
          <w:szCs w:val="24"/>
          <w:lang w:bidi="fa-IR"/>
        </w:rPr>
      </w:pPr>
    </w:p>
    <w:p w14:paraId="7B24CC6B" w14:textId="2D61E23D" w:rsidR="008379AE" w:rsidRDefault="008379AE" w:rsidP="009E4A66">
      <w:pPr>
        <w:spacing w:line="480" w:lineRule="auto"/>
        <w:rPr>
          <w:rFonts w:asciiTheme="majorBidi" w:hAnsiTheme="majorBidi" w:cstheme="majorBidi"/>
          <w:sz w:val="24"/>
          <w:szCs w:val="24"/>
          <w:lang w:bidi="fa-IR"/>
        </w:rPr>
      </w:pPr>
      <w:r w:rsidRPr="0098127B">
        <w:rPr>
          <w:rFonts w:asciiTheme="majorBidi" w:hAnsiTheme="majorBidi" w:cstheme="majorBidi"/>
          <w:sz w:val="24"/>
          <w:szCs w:val="24"/>
          <w:lang w:bidi="fa-IR"/>
        </w:rPr>
        <w:t xml:space="preserve">The books are written by a collective of knowledgeable Iranian teachers and curriculum developers, including Alavimoghadam et al. (2017). They are from the Iran School Books Publication Company, which distributes the books to all public secondary schools in the country, so that all students in Iran have equal access to the same curricular materials and experience the same learning opportunity. </w:t>
      </w:r>
    </w:p>
    <w:p w14:paraId="45BCEEF6" w14:textId="77777777" w:rsidR="00860506" w:rsidRPr="00860506" w:rsidRDefault="00860506" w:rsidP="00860506">
      <w:pPr>
        <w:spacing w:line="480" w:lineRule="auto"/>
        <w:ind w:firstLine="720"/>
        <w:rPr>
          <w:rFonts w:asciiTheme="majorBidi" w:hAnsiTheme="majorBidi" w:cstheme="majorBidi"/>
          <w:sz w:val="24"/>
          <w:szCs w:val="24"/>
          <w:lang w:val="en-US" w:bidi="fa-IR"/>
        </w:rPr>
      </w:pPr>
      <w:r w:rsidRPr="00860506">
        <w:rPr>
          <w:rFonts w:asciiTheme="majorBidi" w:hAnsiTheme="majorBidi" w:cstheme="majorBidi"/>
          <w:i/>
          <w:iCs/>
          <w:sz w:val="24"/>
          <w:szCs w:val="24"/>
          <w:lang w:val="en-US" w:bidi="fa-IR"/>
        </w:rPr>
        <w:t>Prospect 3</w:t>
      </w:r>
      <w:r w:rsidRPr="00860506">
        <w:rPr>
          <w:rFonts w:asciiTheme="majorBidi" w:hAnsiTheme="majorBidi" w:cstheme="majorBidi"/>
          <w:sz w:val="24"/>
          <w:szCs w:val="24"/>
          <w:lang w:val="en-US" w:bidi="fa-IR"/>
        </w:rPr>
        <w:t xml:space="preserve"> is the last volume of the lower secondary English textbook series created by the Iranian Ministry of Education following the Fundamental Reform Document of Education FRDE, which serves to help implement the Vision 1404 educational plan for Iran. It was written to develop student-centered and communicative approaches to teaching English using a variety of situational activities, such as simulations, conversations and information gaps, related to everyday life experiences.</w:t>
      </w:r>
    </w:p>
    <w:p w14:paraId="7C282BB4" w14:textId="77777777" w:rsidR="00860506" w:rsidRPr="00860506" w:rsidRDefault="00860506" w:rsidP="00860506">
      <w:pPr>
        <w:spacing w:line="480" w:lineRule="auto"/>
        <w:ind w:firstLine="720"/>
        <w:rPr>
          <w:rFonts w:asciiTheme="majorBidi" w:hAnsiTheme="majorBidi" w:cstheme="majorBidi"/>
          <w:sz w:val="24"/>
          <w:szCs w:val="24"/>
          <w:lang w:val="en-US" w:bidi="fa-IR"/>
        </w:rPr>
      </w:pPr>
      <w:r w:rsidRPr="00860506">
        <w:rPr>
          <w:rFonts w:asciiTheme="majorBidi" w:hAnsiTheme="majorBidi" w:cstheme="majorBidi"/>
          <w:sz w:val="24"/>
          <w:szCs w:val="24"/>
          <w:lang w:val="en-US" w:bidi="fa-IR"/>
        </w:rPr>
        <w:lastRenderedPageBreak/>
        <w:t xml:space="preserve">Unlike previous textbooks in the </w:t>
      </w:r>
      <w:r w:rsidRPr="00860506">
        <w:rPr>
          <w:rFonts w:asciiTheme="majorBidi" w:hAnsiTheme="majorBidi" w:cstheme="majorBidi"/>
          <w:i/>
          <w:iCs/>
          <w:sz w:val="24"/>
          <w:szCs w:val="24"/>
          <w:lang w:val="en-US" w:bidi="fa-IR"/>
        </w:rPr>
        <w:t>Prospect</w:t>
      </w:r>
      <w:r w:rsidRPr="00860506">
        <w:rPr>
          <w:rFonts w:asciiTheme="majorBidi" w:hAnsiTheme="majorBidi" w:cstheme="majorBidi"/>
          <w:sz w:val="24"/>
          <w:szCs w:val="24"/>
          <w:lang w:val="en-US" w:bidi="fa-IR"/>
        </w:rPr>
        <w:t xml:space="preserve"> series that relied heavily on grammar-translation approaches to teach English, </w:t>
      </w:r>
      <w:r w:rsidRPr="00860506">
        <w:rPr>
          <w:rFonts w:asciiTheme="majorBidi" w:hAnsiTheme="majorBidi" w:cstheme="majorBidi"/>
          <w:i/>
          <w:iCs/>
          <w:sz w:val="24"/>
          <w:szCs w:val="24"/>
          <w:lang w:val="en-US" w:bidi="fa-IR"/>
        </w:rPr>
        <w:t>Prospect 3</w:t>
      </w:r>
      <w:r w:rsidRPr="00860506">
        <w:rPr>
          <w:rFonts w:asciiTheme="majorBidi" w:hAnsiTheme="majorBidi" w:cstheme="majorBidi"/>
          <w:sz w:val="24"/>
          <w:szCs w:val="24"/>
          <w:lang w:val="en-US" w:bidi="fa-IR"/>
        </w:rPr>
        <w:t xml:space="preserve"> uses a functional-notional approach that gradually builds on vocabulary and structures taught in the first and second year. Emphasis is placed on developing the student's ability to communicate orally through listening and speaking, while the development of reading and writing has been limited to situations in which they will support the development of the student's oral communication skills. In addition to providing practice in developing language skills, the text includes comprehensive topics addressing the moral, religious and national identity of Iranian learners, thus ensuring ideological consistency with the standards established by the Iranian Ministry of Education.</w:t>
      </w:r>
    </w:p>
    <w:p w14:paraId="2B1F8AF9" w14:textId="70A43514" w:rsidR="00860506" w:rsidRPr="00860506" w:rsidRDefault="00860506" w:rsidP="00860506">
      <w:pPr>
        <w:spacing w:line="480" w:lineRule="auto"/>
        <w:ind w:firstLine="720"/>
        <w:rPr>
          <w:rFonts w:asciiTheme="majorBidi" w:hAnsiTheme="majorBidi" w:cstheme="majorBidi"/>
          <w:sz w:val="24"/>
          <w:szCs w:val="24"/>
          <w:lang w:val="en-US" w:bidi="fa-IR"/>
        </w:rPr>
      </w:pPr>
      <w:r w:rsidRPr="00860506">
        <w:rPr>
          <w:rFonts w:asciiTheme="majorBidi" w:hAnsiTheme="majorBidi" w:cstheme="majorBidi"/>
          <w:sz w:val="24"/>
          <w:szCs w:val="24"/>
          <w:lang w:val="en-US" w:bidi="fa-IR"/>
        </w:rPr>
        <w:t xml:space="preserve">The visual design of </w:t>
      </w:r>
      <w:r w:rsidRPr="00860506">
        <w:rPr>
          <w:rFonts w:asciiTheme="majorBidi" w:hAnsiTheme="majorBidi" w:cstheme="majorBidi"/>
          <w:i/>
          <w:iCs/>
          <w:sz w:val="24"/>
          <w:szCs w:val="24"/>
          <w:lang w:val="en-US" w:bidi="fa-IR"/>
        </w:rPr>
        <w:t>Prospect 3</w:t>
      </w:r>
      <w:r w:rsidRPr="00860506">
        <w:rPr>
          <w:rFonts w:asciiTheme="majorBidi" w:hAnsiTheme="majorBidi" w:cstheme="majorBidi"/>
          <w:sz w:val="24"/>
          <w:szCs w:val="24"/>
          <w:lang w:val="en-US" w:bidi="fa-IR"/>
        </w:rPr>
        <w:t xml:space="preserve"> was designed specifically for students; it features many bright illustrations, locally based characters, and culturally relevant examples. Additionally, it contains organized review sections, information for teachers, and tutorial assessments that can be used to improve formative evaluations. </w:t>
      </w:r>
      <w:r w:rsidRPr="00860506">
        <w:rPr>
          <w:rFonts w:asciiTheme="majorBidi" w:hAnsiTheme="majorBidi" w:cstheme="majorBidi"/>
          <w:i/>
          <w:iCs/>
          <w:sz w:val="24"/>
          <w:szCs w:val="24"/>
          <w:lang w:val="en-US" w:bidi="fa-IR"/>
        </w:rPr>
        <w:t>Prospect 3</w:t>
      </w:r>
      <w:r w:rsidRPr="00860506">
        <w:rPr>
          <w:rFonts w:asciiTheme="majorBidi" w:hAnsiTheme="majorBidi" w:cstheme="majorBidi"/>
          <w:sz w:val="24"/>
          <w:szCs w:val="24"/>
          <w:lang w:val="en-US" w:bidi="fa-IR"/>
        </w:rPr>
        <w:t xml:space="preserve"> represents a conscious effort on the part of Iran to give the English Language Learning experience an updated approach while being mindful of the religious beliefs of the country, respecting local culture, and ensuring that the materials are pedagogically sound for the learners in Iran.</w:t>
      </w:r>
    </w:p>
    <w:p w14:paraId="4DC31BC8"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 xml:space="preserve">3.3.3 Checklist </w:t>
      </w:r>
    </w:p>
    <w:p w14:paraId="510DABAF" w14:textId="77777777" w:rsidR="008379AE" w:rsidRPr="0098127B" w:rsidRDefault="008379AE" w:rsidP="008930DE">
      <w:pPr>
        <w:spacing w:line="480" w:lineRule="auto"/>
        <w:rPr>
          <w:rFonts w:asciiTheme="majorBidi" w:hAnsiTheme="majorBidi" w:cstheme="majorBidi"/>
          <w:sz w:val="24"/>
          <w:szCs w:val="24"/>
          <w:lang w:bidi="fa-IR"/>
        </w:rPr>
      </w:pPr>
      <w:r w:rsidRPr="0098127B">
        <w:rPr>
          <w:rFonts w:asciiTheme="majorBidi" w:hAnsiTheme="majorBidi" w:cstheme="majorBidi"/>
          <w:sz w:val="24"/>
          <w:szCs w:val="24"/>
          <w:lang w:bidi="fa-IR"/>
        </w:rPr>
        <w:t>The textbooks being assessed in this study was assessed by using the full framework described by AbdelWahab (2013), which synthesizes aspects of several publication checklists including those developed by Soori et al. (2011) and Mukundan et al. (2011). The integrative checklist provided a methodical and systemic way of assessing various aspects of textbooks that speak to quality and relevance, including for comparative curriculum studies.</w:t>
      </w:r>
    </w:p>
    <w:p w14:paraId="14804539" w14:textId="77777777" w:rsidR="008379AE" w:rsidRPr="0098127B" w:rsidRDefault="008379AE" w:rsidP="008379AE">
      <w:pPr>
        <w:spacing w:line="480" w:lineRule="auto"/>
        <w:ind w:firstLine="720"/>
        <w:rPr>
          <w:rFonts w:asciiTheme="majorBidi" w:hAnsiTheme="majorBidi" w:cstheme="majorBidi"/>
          <w:sz w:val="24"/>
          <w:szCs w:val="24"/>
          <w:lang w:bidi="fa-IR"/>
        </w:rPr>
      </w:pPr>
      <w:r w:rsidRPr="0098127B">
        <w:rPr>
          <w:rFonts w:asciiTheme="majorBidi" w:hAnsiTheme="majorBidi" w:cstheme="majorBidi"/>
          <w:sz w:val="24"/>
          <w:szCs w:val="24"/>
          <w:lang w:bidi="fa-IR"/>
        </w:rPr>
        <w:t xml:space="preserve">The checklist comprises 123 specific items designed to assess different dimensions of a textbook. The items are arranged into four major groups. The first group, "Physical and </w:t>
      </w:r>
      <w:r w:rsidRPr="0098127B">
        <w:rPr>
          <w:rFonts w:asciiTheme="majorBidi" w:hAnsiTheme="majorBidi" w:cstheme="majorBidi"/>
          <w:sz w:val="24"/>
          <w:szCs w:val="24"/>
          <w:lang w:bidi="fa-IR"/>
        </w:rPr>
        <w:lastRenderedPageBreak/>
        <w:t>Utilitarian Attributes" includes 20 items that identify the physical layout and design, as well as ease of use, of the textbook. The second group, "Efficient Outlay of Objectives and Supplementary Materials," has 24 items that identify the clarity of the learning intentions and the appropriate use of supplementary materials, exercises, and teacher aides. The third group, "Learning-Teaching Content" includes 25 items that assess the pedagogical value of the materials that were presented as well as the appropriateness of the content. The last and largest group, "Language Skills," has 54 items which assess the textbook's effectiveness for acquiring and practicing the essential language skills including learning to read and write as well as listening and speaking, along with grammar and vocabulary.</w:t>
      </w:r>
    </w:p>
    <w:p w14:paraId="17EC5DB9" w14:textId="77777777" w:rsidR="008379AE" w:rsidRPr="0098127B" w:rsidRDefault="008379AE" w:rsidP="008379AE">
      <w:pPr>
        <w:spacing w:line="480" w:lineRule="auto"/>
        <w:ind w:firstLine="720"/>
        <w:rPr>
          <w:rFonts w:asciiTheme="majorBidi" w:hAnsiTheme="majorBidi" w:cstheme="majorBidi"/>
          <w:sz w:val="24"/>
          <w:szCs w:val="24"/>
          <w:lang w:bidi="fa-IR"/>
        </w:rPr>
      </w:pPr>
      <w:r w:rsidRPr="0098127B">
        <w:rPr>
          <w:rFonts w:asciiTheme="majorBidi" w:hAnsiTheme="majorBidi" w:cstheme="majorBidi"/>
          <w:sz w:val="24"/>
          <w:szCs w:val="24"/>
          <w:lang w:bidi="fa-IR"/>
        </w:rPr>
        <w:t>A three-point scale on the checklist evaluates every item to determine its quality measure in a quantifiable manner.  A rating of 1 demonstrates that the item received insufficient attention or does not exist and results in a maximum possible score of 64%. The feature receives a rank of 2 when it is present at an acceptable level yet does not exceed 74% performance. A feature earns a score of 3 when it reaches high-quality standards with an integrated design that achieves 75% or more.</w:t>
      </w:r>
    </w:p>
    <w:p w14:paraId="61D436A8" w14:textId="77777777" w:rsidR="008379AE" w:rsidRPr="0098127B" w:rsidRDefault="008379AE" w:rsidP="008379AE">
      <w:pPr>
        <w:spacing w:line="480" w:lineRule="auto"/>
        <w:ind w:firstLine="720"/>
        <w:rPr>
          <w:rFonts w:asciiTheme="majorBidi" w:hAnsiTheme="majorBidi" w:cstheme="majorBidi"/>
          <w:sz w:val="24"/>
          <w:szCs w:val="24"/>
          <w:lang w:val="en-US" w:bidi="fa-IR"/>
        </w:rPr>
      </w:pPr>
      <w:r w:rsidRPr="0098127B">
        <w:rPr>
          <w:rFonts w:asciiTheme="majorBidi" w:hAnsiTheme="majorBidi" w:cstheme="majorBidi"/>
          <w:sz w:val="24"/>
          <w:szCs w:val="24"/>
          <w:lang w:bidi="fa-IR"/>
        </w:rPr>
        <w:t>The numerical evaluation method establishes an unbiased approach to textbook analysis and maintains consistent evaluation standards for educational resources.</w:t>
      </w:r>
      <w:r w:rsidRPr="0098127B">
        <w:rPr>
          <w:rFonts w:ascii="Times New Roman" w:eastAsia="Times New Roman" w:hAnsi="Times New Roman" w:cs="Times New Roman"/>
          <w:kern w:val="0"/>
          <w:sz w:val="24"/>
          <w:szCs w:val="24"/>
          <w:lang w:val="en-US"/>
          <w14:ligatures w14:val="none"/>
        </w:rPr>
        <w:t xml:space="preserve"> </w:t>
      </w:r>
      <w:r w:rsidRPr="0098127B">
        <w:rPr>
          <w:rFonts w:asciiTheme="majorBidi" w:hAnsiTheme="majorBidi" w:cstheme="majorBidi"/>
          <w:sz w:val="24"/>
          <w:szCs w:val="24"/>
          <w:lang w:val="en-US" w:bidi="fa-IR"/>
        </w:rPr>
        <w:t>The research uses this standardized and verified approach to make sure that the procedure for analyzing textbooks is trustworthy and can be repeated. This gives us useful information on the quality and breadth of English language curriculum in Iraq and Iran.</w:t>
      </w:r>
    </w:p>
    <w:p w14:paraId="2541AA91"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3.4 Data Collection Procedure</w:t>
      </w:r>
    </w:p>
    <w:p w14:paraId="633946DA" w14:textId="77777777" w:rsidR="008379AE" w:rsidRPr="0098127B" w:rsidRDefault="008379AE" w:rsidP="008930DE">
      <w:pPr>
        <w:spacing w:line="480" w:lineRule="auto"/>
        <w:rPr>
          <w:rFonts w:asciiTheme="majorBidi" w:hAnsiTheme="majorBidi" w:cstheme="majorBidi"/>
          <w:sz w:val="24"/>
          <w:szCs w:val="24"/>
          <w:lang w:bidi="fa-IR"/>
        </w:rPr>
      </w:pPr>
      <w:r w:rsidRPr="0098127B">
        <w:rPr>
          <w:rFonts w:asciiTheme="majorBidi" w:hAnsiTheme="majorBidi" w:cstheme="majorBidi"/>
          <w:sz w:val="24"/>
          <w:szCs w:val="24"/>
          <w:lang w:bidi="fa-IR"/>
        </w:rPr>
        <w:t xml:space="preserve">The selected textbooks underwent a detailed descriptive content analysis during the evaluation process. The examination was comprehensive for each textbook unit which includes written passages together with their associated visual elements. Through the </w:t>
      </w:r>
      <w:r w:rsidRPr="0098127B">
        <w:rPr>
          <w:rFonts w:asciiTheme="majorBidi" w:hAnsiTheme="majorBidi" w:cstheme="majorBidi"/>
          <w:sz w:val="24"/>
          <w:szCs w:val="24"/>
          <w:lang w:bidi="fa-IR"/>
        </w:rPr>
        <w:lastRenderedPageBreak/>
        <w:t>analysis, the researcher determined relevant study objectives which include cultural representation while identifying how language skills get incorporated. The evaluation process used frequency counts for the specific elements to generate empirical support for checklist-based ratings.</w:t>
      </w:r>
    </w:p>
    <w:p w14:paraId="276012A8" w14:textId="77777777" w:rsidR="008379AE" w:rsidRPr="0098127B" w:rsidRDefault="008379AE" w:rsidP="008379AE">
      <w:pPr>
        <w:spacing w:line="480" w:lineRule="auto"/>
        <w:ind w:firstLine="720"/>
        <w:rPr>
          <w:rFonts w:asciiTheme="majorBidi" w:hAnsiTheme="majorBidi" w:cstheme="majorBidi"/>
          <w:sz w:val="24"/>
          <w:szCs w:val="24"/>
          <w:lang w:bidi="fa-IR"/>
        </w:rPr>
      </w:pPr>
      <w:r w:rsidRPr="0098127B">
        <w:rPr>
          <w:rFonts w:asciiTheme="majorBidi" w:hAnsiTheme="majorBidi" w:cstheme="majorBidi"/>
          <w:sz w:val="24"/>
          <w:szCs w:val="24"/>
          <w:lang w:bidi="fa-IR"/>
        </w:rPr>
        <w:t>The study implements inter-rater reliability tests to strengthen the credibility of its conclusions. The evaluation process involved multiple independent raters who applied the standard assessment tool to textbooks before comparing their scores to validate the evaluation's objectivity. Using this research framework enables the discovery of both consistent themes and conflicting elements in English language curriculum content across Iraqi and Iranian secondary school textbooks.</w:t>
      </w:r>
    </w:p>
    <w:p w14:paraId="2BB87B5E" w14:textId="77777777" w:rsidR="008379AE" w:rsidRPr="0098127B" w:rsidRDefault="008379AE" w:rsidP="008379A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t>3.5 Data Analysis</w:t>
      </w:r>
    </w:p>
    <w:p w14:paraId="5F6191CC" w14:textId="494169CE" w:rsidR="008379AE" w:rsidRPr="0098127B" w:rsidRDefault="008379AE" w:rsidP="008930DE">
      <w:pPr>
        <w:spacing w:line="480" w:lineRule="auto"/>
        <w:rPr>
          <w:rFonts w:asciiTheme="majorBidi" w:hAnsiTheme="majorBidi" w:cstheme="majorBidi"/>
          <w:sz w:val="24"/>
          <w:szCs w:val="24"/>
          <w:lang w:bidi="fa-IR"/>
        </w:rPr>
      </w:pPr>
      <w:r w:rsidRPr="0098127B">
        <w:rPr>
          <w:rFonts w:asciiTheme="majorBidi" w:hAnsiTheme="majorBidi" w:cstheme="majorBidi"/>
          <w:sz w:val="24"/>
          <w:szCs w:val="24"/>
          <w:lang w:bidi="fa-IR"/>
        </w:rPr>
        <w:t>The analysis was break down every textbook into separate units to evaluate the combined textual and visual elements. The two series were assessed based on their presentation of cultural inclusivity, skill distribution, language application and instructional clarity. Through qualitative analysis</w:t>
      </w:r>
      <w:r w:rsidR="00654C3E" w:rsidRPr="0098127B">
        <w:rPr>
          <w:rFonts w:asciiTheme="majorBidi" w:hAnsiTheme="majorBidi" w:cstheme="majorBidi"/>
          <w:sz w:val="24"/>
          <w:szCs w:val="24"/>
          <w:lang w:bidi="fa-IR"/>
        </w:rPr>
        <w:t>,</w:t>
      </w:r>
      <w:r w:rsidRPr="0098127B">
        <w:rPr>
          <w:rFonts w:asciiTheme="majorBidi" w:hAnsiTheme="majorBidi" w:cstheme="majorBidi"/>
          <w:sz w:val="24"/>
          <w:szCs w:val="24"/>
          <w:lang w:bidi="fa-IR"/>
        </w:rPr>
        <w:t xml:space="preserve"> we interpreted the frequency and presence of essential educational elements (real-world dialogues, communicative tasks and culturally loaded imagery) before connecting them to educational objectives. The analysis draws on feature frequency counts to develop thematic patterns but the data does not function as statistical analysis because it supports thematic categorization and descriptive patterning instead.</w:t>
      </w:r>
    </w:p>
    <w:p w14:paraId="3D233858" w14:textId="77777777" w:rsidR="008379AE" w:rsidRPr="0098127B" w:rsidRDefault="008379AE" w:rsidP="008379AE">
      <w:pPr>
        <w:spacing w:line="480" w:lineRule="auto"/>
        <w:ind w:firstLine="720"/>
        <w:rPr>
          <w:rFonts w:asciiTheme="majorBidi" w:hAnsiTheme="majorBidi" w:cstheme="majorBidi"/>
          <w:sz w:val="24"/>
          <w:szCs w:val="24"/>
          <w:lang w:val="en-US" w:bidi="fa-IR"/>
        </w:rPr>
      </w:pPr>
      <w:r w:rsidRPr="0098127B">
        <w:rPr>
          <w:rFonts w:asciiTheme="majorBidi" w:hAnsiTheme="majorBidi" w:cstheme="majorBidi"/>
          <w:sz w:val="24"/>
          <w:szCs w:val="24"/>
          <w:lang w:val="en-US" w:bidi="fa-IR"/>
        </w:rPr>
        <w:t>Inter-rater agreement was used to make sure that the results are reliable. The checklist was used on each series of textbooks by more than one assessor. Then, their ratings were compared and reconciled to fix any differences and reduce bias. This procedure made the results more credible by making sure that various reviewers interpret them in the same way.</w:t>
      </w:r>
    </w:p>
    <w:p w14:paraId="0B355DC4" w14:textId="77777777" w:rsidR="008379AE" w:rsidRPr="0098127B" w:rsidRDefault="008379AE" w:rsidP="008379AE">
      <w:pPr>
        <w:spacing w:line="480" w:lineRule="auto"/>
        <w:rPr>
          <w:rFonts w:asciiTheme="majorBidi" w:hAnsiTheme="majorBidi" w:cstheme="majorBidi"/>
          <w:sz w:val="24"/>
          <w:szCs w:val="24"/>
          <w:lang w:bidi="fa-IR"/>
        </w:rPr>
      </w:pPr>
    </w:p>
    <w:p w14:paraId="06999A49" w14:textId="77777777" w:rsidR="008930DE" w:rsidRPr="0098127B" w:rsidRDefault="008930DE" w:rsidP="008379AE">
      <w:pPr>
        <w:spacing w:line="480" w:lineRule="auto"/>
        <w:rPr>
          <w:rFonts w:asciiTheme="majorBidi" w:hAnsiTheme="majorBidi" w:cstheme="majorBidi"/>
          <w:sz w:val="24"/>
          <w:szCs w:val="24"/>
          <w:lang w:bidi="fa-IR"/>
        </w:rPr>
      </w:pPr>
    </w:p>
    <w:p w14:paraId="3BCB49C1" w14:textId="77777777" w:rsidR="00FE07C2" w:rsidRPr="0098127B" w:rsidRDefault="00FE07C2" w:rsidP="008379AE">
      <w:pPr>
        <w:spacing w:line="480" w:lineRule="auto"/>
        <w:rPr>
          <w:rFonts w:asciiTheme="majorBidi" w:hAnsiTheme="majorBidi" w:cstheme="majorBidi"/>
          <w:sz w:val="24"/>
          <w:szCs w:val="24"/>
          <w:lang w:bidi="fa-IR"/>
        </w:rPr>
      </w:pPr>
    </w:p>
    <w:p w14:paraId="2AD287AD" w14:textId="77777777" w:rsidR="00FE07C2" w:rsidRPr="0098127B" w:rsidRDefault="00FE07C2" w:rsidP="008379AE">
      <w:pPr>
        <w:spacing w:line="480" w:lineRule="auto"/>
        <w:rPr>
          <w:rFonts w:asciiTheme="majorBidi" w:hAnsiTheme="majorBidi" w:cstheme="majorBidi"/>
          <w:sz w:val="24"/>
          <w:szCs w:val="24"/>
          <w:lang w:bidi="fa-IR"/>
        </w:rPr>
      </w:pPr>
    </w:p>
    <w:p w14:paraId="7E563898" w14:textId="77777777" w:rsidR="00FE07C2" w:rsidRPr="0098127B" w:rsidRDefault="00FE07C2" w:rsidP="008379AE">
      <w:pPr>
        <w:spacing w:line="480" w:lineRule="auto"/>
        <w:rPr>
          <w:rFonts w:asciiTheme="majorBidi" w:hAnsiTheme="majorBidi" w:cstheme="majorBidi"/>
          <w:sz w:val="24"/>
          <w:szCs w:val="24"/>
          <w:lang w:bidi="fa-IR"/>
        </w:rPr>
      </w:pPr>
    </w:p>
    <w:p w14:paraId="6A66482F" w14:textId="32730997" w:rsidR="00FE07C2" w:rsidRDefault="00FE07C2" w:rsidP="008379AE">
      <w:pPr>
        <w:spacing w:line="480" w:lineRule="auto"/>
        <w:rPr>
          <w:rFonts w:asciiTheme="majorBidi" w:hAnsiTheme="majorBidi" w:cstheme="majorBidi"/>
          <w:sz w:val="24"/>
          <w:szCs w:val="24"/>
          <w:lang w:bidi="fa-IR"/>
        </w:rPr>
      </w:pPr>
    </w:p>
    <w:p w14:paraId="0243C59E" w14:textId="7D00F71E" w:rsidR="00D433F0" w:rsidRDefault="00D433F0" w:rsidP="008379AE">
      <w:pPr>
        <w:spacing w:line="480" w:lineRule="auto"/>
        <w:rPr>
          <w:rFonts w:asciiTheme="majorBidi" w:hAnsiTheme="majorBidi" w:cstheme="majorBidi"/>
          <w:sz w:val="24"/>
          <w:szCs w:val="24"/>
          <w:lang w:bidi="fa-IR"/>
        </w:rPr>
      </w:pPr>
    </w:p>
    <w:p w14:paraId="29152700" w14:textId="77777777" w:rsidR="00D433F0" w:rsidRPr="0098127B" w:rsidRDefault="00D433F0" w:rsidP="008379AE">
      <w:pPr>
        <w:spacing w:line="480" w:lineRule="auto"/>
        <w:rPr>
          <w:rFonts w:asciiTheme="majorBidi" w:hAnsiTheme="majorBidi" w:cstheme="majorBidi"/>
          <w:sz w:val="24"/>
          <w:szCs w:val="24"/>
          <w:lang w:bidi="fa-IR"/>
        </w:rPr>
      </w:pPr>
    </w:p>
    <w:p w14:paraId="01C746F8" w14:textId="77777777" w:rsidR="00FE07C2" w:rsidRPr="0098127B" w:rsidRDefault="00FE07C2" w:rsidP="008379AE">
      <w:pPr>
        <w:spacing w:line="480" w:lineRule="auto"/>
        <w:rPr>
          <w:rFonts w:asciiTheme="majorBidi" w:hAnsiTheme="majorBidi" w:cstheme="majorBidi"/>
          <w:sz w:val="24"/>
          <w:szCs w:val="24"/>
          <w:lang w:bidi="fa-IR"/>
        </w:rPr>
      </w:pPr>
    </w:p>
    <w:p w14:paraId="205D3B49" w14:textId="77777777" w:rsidR="00FE07C2" w:rsidRPr="0098127B" w:rsidRDefault="00FE07C2" w:rsidP="008379AE">
      <w:pPr>
        <w:spacing w:line="480" w:lineRule="auto"/>
        <w:rPr>
          <w:rFonts w:asciiTheme="majorBidi" w:hAnsiTheme="majorBidi" w:cstheme="majorBidi"/>
          <w:sz w:val="24"/>
          <w:szCs w:val="24"/>
          <w:lang w:bidi="fa-IR"/>
        </w:rPr>
      </w:pPr>
    </w:p>
    <w:p w14:paraId="171E6801" w14:textId="77777777" w:rsidR="00D433F0" w:rsidRPr="00594A76" w:rsidRDefault="00D433F0" w:rsidP="00D433F0">
      <w:pPr>
        <w:spacing w:line="480" w:lineRule="auto"/>
        <w:jc w:val="center"/>
        <w:rPr>
          <w:rFonts w:asciiTheme="majorBidi" w:hAnsiTheme="majorBidi" w:cstheme="majorBidi"/>
          <w:b/>
          <w:bCs/>
          <w:sz w:val="40"/>
          <w:szCs w:val="40"/>
          <w:lang w:val="en-US"/>
        </w:rPr>
      </w:pPr>
      <w:r w:rsidRPr="00594A76">
        <w:rPr>
          <w:rFonts w:asciiTheme="majorBidi" w:hAnsiTheme="majorBidi" w:cstheme="majorBidi"/>
          <w:b/>
          <w:bCs/>
          <w:sz w:val="40"/>
          <w:szCs w:val="40"/>
          <w:lang w:val="en-US"/>
        </w:rPr>
        <w:t>Chapter 4: Results</w:t>
      </w:r>
    </w:p>
    <w:p w14:paraId="0488A3A4"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08FA83AD"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0D9A4710"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72A4E1AA"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3A722115"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476BF2E1"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135169D3"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35556D17"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2946CFFE" w14:textId="77777777" w:rsidR="00D433F0" w:rsidRPr="00594A76" w:rsidRDefault="00D433F0" w:rsidP="00D433F0">
      <w:pPr>
        <w:spacing w:line="480" w:lineRule="auto"/>
        <w:jc w:val="center"/>
        <w:rPr>
          <w:rFonts w:asciiTheme="majorBidi" w:hAnsiTheme="majorBidi" w:cstheme="majorBidi"/>
          <w:b/>
          <w:bCs/>
          <w:sz w:val="24"/>
          <w:szCs w:val="24"/>
          <w:lang w:val="en-US"/>
        </w:rPr>
      </w:pPr>
    </w:p>
    <w:p w14:paraId="1CA60570" w14:textId="77777777" w:rsidR="00D433F0" w:rsidRPr="00594A76" w:rsidRDefault="00D433F0" w:rsidP="00D433F0">
      <w:pPr>
        <w:spacing w:line="480" w:lineRule="auto"/>
        <w:rPr>
          <w:rFonts w:asciiTheme="majorBidi" w:hAnsiTheme="majorBidi" w:cstheme="majorBidi"/>
          <w:b/>
          <w:bCs/>
          <w:sz w:val="24"/>
          <w:szCs w:val="24"/>
          <w:lang w:val="en-US"/>
        </w:rPr>
      </w:pPr>
      <w:r w:rsidRPr="00594A76">
        <w:rPr>
          <w:rFonts w:asciiTheme="majorBidi" w:hAnsiTheme="majorBidi" w:cstheme="majorBidi"/>
          <w:b/>
          <w:bCs/>
          <w:sz w:val="24"/>
          <w:szCs w:val="24"/>
          <w:lang w:val="en-US"/>
        </w:rPr>
        <w:lastRenderedPageBreak/>
        <w:t>4.1 Introduction</w:t>
      </w:r>
    </w:p>
    <w:p w14:paraId="7BAF5AEE" w14:textId="53079938" w:rsidR="00B5648B" w:rsidRPr="00B5648B" w:rsidRDefault="00E11587" w:rsidP="00B5648B">
      <w:pPr>
        <w:spacing w:line="480" w:lineRule="auto"/>
        <w:rPr>
          <w:rFonts w:asciiTheme="majorBidi" w:hAnsiTheme="majorBidi" w:cstheme="majorBidi"/>
          <w:sz w:val="24"/>
          <w:szCs w:val="24"/>
          <w:lang w:val="en-US"/>
        </w:rPr>
      </w:pPr>
      <w:r w:rsidRPr="00E11587">
        <w:rPr>
          <w:rFonts w:asciiTheme="majorBidi" w:hAnsiTheme="majorBidi" w:cstheme="majorBidi"/>
          <w:sz w:val="24"/>
          <w:szCs w:val="24"/>
          <w:lang w:val="en-US"/>
        </w:rPr>
        <w:t>This chapter presents the quantitative findings of the current study, which aimed to conduct a comparative evaluation of two secondary-level English language textbook series—</w:t>
      </w:r>
      <w:r w:rsidRPr="00E11587">
        <w:rPr>
          <w:rFonts w:asciiTheme="majorBidi" w:hAnsiTheme="majorBidi" w:cstheme="majorBidi"/>
          <w:i/>
          <w:iCs/>
          <w:sz w:val="24"/>
          <w:szCs w:val="24"/>
          <w:lang w:val="en-US"/>
        </w:rPr>
        <w:t>English for Iraq</w:t>
      </w:r>
      <w:r w:rsidRPr="00E11587">
        <w:rPr>
          <w:rFonts w:asciiTheme="majorBidi" w:hAnsiTheme="majorBidi" w:cstheme="majorBidi"/>
          <w:sz w:val="24"/>
          <w:szCs w:val="24"/>
          <w:lang w:val="en-US"/>
        </w:rPr>
        <w:t xml:space="preserve"> and </w:t>
      </w:r>
      <w:r w:rsidRPr="00E11587">
        <w:rPr>
          <w:rFonts w:asciiTheme="majorBidi" w:hAnsiTheme="majorBidi" w:cstheme="majorBidi"/>
          <w:i/>
          <w:iCs/>
          <w:sz w:val="24"/>
          <w:szCs w:val="24"/>
          <w:lang w:val="en-US"/>
        </w:rPr>
        <w:t>Prospect</w:t>
      </w:r>
      <w:r w:rsidRPr="00E11587">
        <w:rPr>
          <w:rFonts w:asciiTheme="majorBidi" w:hAnsiTheme="majorBidi" w:cstheme="majorBidi"/>
          <w:sz w:val="24"/>
          <w:szCs w:val="24"/>
          <w:lang w:val="en-US"/>
        </w:rPr>
        <w:t>—</w:t>
      </w:r>
      <w:r w:rsidR="00B5648B" w:rsidRPr="00B5648B">
        <w:t xml:space="preserve"> </w:t>
      </w:r>
      <w:r w:rsidR="00B5648B" w:rsidRPr="00B5648B">
        <w:rPr>
          <w:rFonts w:asciiTheme="majorBidi" w:hAnsiTheme="majorBidi" w:cstheme="majorBidi"/>
          <w:sz w:val="24"/>
          <w:szCs w:val="24"/>
          <w:lang w:val="en-US"/>
        </w:rPr>
        <w:t>The quantitative analysis chapter presents data from this comparative study of two English Language Secondary Textbook Series -- 'English for Iraq' and 'Prospect' -- which were used in the Educational Contexts of the two neighboring countries Iraq and Iran, respectively. The principal purpose of conducting the research study was to determine and evaluate the extent to which both textbook series were compatible with current pedagogical theory, facilitated the development of communicative competence, and reflected national educational objectives relative to the representation of cultural and ideological themes.</w:t>
      </w:r>
    </w:p>
    <w:p w14:paraId="282667EB" w14:textId="2C21EA0F" w:rsidR="00E11587" w:rsidRPr="00E11587" w:rsidRDefault="00B5648B" w:rsidP="00B5648B">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b/>
      </w:r>
      <w:r w:rsidRPr="00B5648B">
        <w:rPr>
          <w:rFonts w:asciiTheme="majorBidi" w:hAnsiTheme="majorBidi" w:cstheme="majorBidi"/>
          <w:sz w:val="24"/>
          <w:szCs w:val="24"/>
          <w:lang w:val="en-US"/>
        </w:rPr>
        <w:t>This was accomplished through the use of an analytical instrument, AbdelWahab's model textbook selection checklist (2013), which consisted of 43 Items, grouped into seven different areas/dimensions (physical and aesthetic features of the title page, purpose of the textbook, content of the textbook, language skill development, teaching methodologies employed by authors of both textbook series, supplementary materials included in both series, cultural representation in both series) and rated on 3-point Likert scale, allowing for comparison of how the two series compare to each other at many levels.</w:t>
      </w:r>
    </w:p>
    <w:p w14:paraId="646D7970" w14:textId="7DE73E09" w:rsidR="00E11587" w:rsidRDefault="00E11587" w:rsidP="00E11587">
      <w:pPr>
        <w:spacing w:line="480" w:lineRule="auto"/>
        <w:ind w:firstLine="720"/>
        <w:rPr>
          <w:rFonts w:asciiTheme="majorBidi" w:hAnsiTheme="majorBidi" w:cstheme="majorBidi"/>
          <w:sz w:val="24"/>
          <w:szCs w:val="24"/>
          <w:lang w:val="en-US"/>
        </w:rPr>
      </w:pPr>
      <w:r w:rsidRPr="00E11587">
        <w:rPr>
          <w:rFonts w:asciiTheme="majorBidi" w:hAnsiTheme="majorBidi" w:cstheme="majorBidi"/>
          <w:sz w:val="24"/>
          <w:szCs w:val="24"/>
          <w:lang w:val="en-US"/>
        </w:rPr>
        <w:t xml:space="preserve">The findings in this chapter are organized according to the major evaluation dimensions of the checklist, allowing for a detailed comparison between the two textbook series in each area. Additionally, results are presented in alignment with the study’s research questions, with each question addressed through a focused interpretation of the relevant data. Where appropriate, tables and visual aids are used to enhance clarity and facilitate </w:t>
      </w:r>
      <w:r w:rsidRPr="00E11587">
        <w:rPr>
          <w:rFonts w:asciiTheme="majorBidi" w:hAnsiTheme="majorBidi" w:cstheme="majorBidi"/>
          <w:sz w:val="24"/>
          <w:szCs w:val="24"/>
          <w:lang w:val="en-US"/>
        </w:rPr>
        <w:lastRenderedPageBreak/>
        <w:t>comparative understanding. This chapter lays the groundwork for the interpretation and implications discussed in Chapter Five.</w:t>
      </w:r>
    </w:p>
    <w:p w14:paraId="2B43D835" w14:textId="3C1B1F04" w:rsidR="00151A47" w:rsidRPr="00E11587" w:rsidRDefault="00151A47" w:rsidP="00151A47">
      <w:pPr>
        <w:spacing w:line="480" w:lineRule="auto"/>
        <w:rPr>
          <w:rFonts w:asciiTheme="majorBidi" w:hAnsiTheme="majorBidi" w:cstheme="majorBidi"/>
          <w:b/>
          <w:bCs/>
          <w:sz w:val="24"/>
          <w:szCs w:val="24"/>
          <w:lang w:val="en-US"/>
        </w:rPr>
      </w:pPr>
      <w:r w:rsidRPr="00151A47">
        <w:rPr>
          <w:rFonts w:asciiTheme="majorBidi" w:hAnsiTheme="majorBidi" w:cstheme="majorBidi"/>
          <w:b/>
          <w:bCs/>
          <w:sz w:val="24"/>
          <w:szCs w:val="24"/>
          <w:lang w:val="en-US"/>
        </w:rPr>
        <w:t>4.2 Results</w:t>
      </w:r>
    </w:p>
    <w:p w14:paraId="64349B5A" w14:textId="43D6E877" w:rsidR="006436C1" w:rsidRPr="006436C1" w:rsidRDefault="006436C1" w:rsidP="006436C1">
      <w:pPr>
        <w:spacing w:line="480" w:lineRule="auto"/>
        <w:rPr>
          <w:rFonts w:asciiTheme="majorBidi" w:hAnsiTheme="majorBidi" w:cstheme="majorBidi"/>
          <w:b/>
          <w:bCs/>
          <w:sz w:val="24"/>
          <w:szCs w:val="24"/>
          <w:lang w:val="en-US"/>
        </w:rPr>
      </w:pPr>
      <w:r w:rsidRPr="006436C1">
        <w:rPr>
          <w:rFonts w:asciiTheme="majorBidi" w:hAnsiTheme="majorBidi" w:cstheme="majorBidi"/>
          <w:b/>
          <w:bCs/>
          <w:sz w:val="24"/>
          <w:szCs w:val="24"/>
          <w:lang w:val="en-US"/>
        </w:rPr>
        <w:t>4.</w:t>
      </w:r>
      <w:r w:rsidR="00151A47">
        <w:rPr>
          <w:rFonts w:asciiTheme="majorBidi" w:hAnsiTheme="majorBidi" w:cstheme="majorBidi"/>
          <w:b/>
          <w:bCs/>
          <w:sz w:val="24"/>
          <w:szCs w:val="24"/>
          <w:lang w:val="en-US"/>
        </w:rPr>
        <w:t>2.1</w:t>
      </w:r>
      <w:r w:rsidRPr="006436C1">
        <w:rPr>
          <w:rFonts w:asciiTheme="majorBidi" w:hAnsiTheme="majorBidi" w:cstheme="majorBidi"/>
          <w:b/>
          <w:bCs/>
          <w:sz w:val="24"/>
          <w:szCs w:val="24"/>
          <w:lang w:val="en-US"/>
        </w:rPr>
        <w:t xml:space="preserve"> Description of the Evaluation Framework</w:t>
      </w:r>
    </w:p>
    <w:p w14:paraId="5138B7BE" w14:textId="3A6EACDE" w:rsidR="006436C1" w:rsidRPr="006436C1" w:rsidRDefault="00B5648B" w:rsidP="006436C1">
      <w:pPr>
        <w:spacing w:line="480" w:lineRule="auto"/>
        <w:rPr>
          <w:rFonts w:asciiTheme="majorBidi" w:hAnsiTheme="majorBidi" w:cstheme="majorBidi"/>
          <w:sz w:val="24"/>
          <w:szCs w:val="24"/>
          <w:lang w:val="en-US"/>
        </w:rPr>
      </w:pPr>
      <w:r w:rsidRPr="00B5648B">
        <w:rPr>
          <w:rFonts w:asciiTheme="majorBidi" w:hAnsiTheme="majorBidi" w:cstheme="majorBidi"/>
          <w:sz w:val="24"/>
          <w:szCs w:val="24"/>
          <w:lang w:val="en-US"/>
        </w:rPr>
        <w:t>This research used AbdelWahab's (2013) literature as its reference for creating an evaluative framework for English Language Teaching textbooks and instructional materials. This framework draws upon more than ten different models/evaluation frameworks that are well-established within the field and was created with statistical validity using over 123 items across four categories: (1) the physical appearance of the material; (2) the instructional goals and content of the materials; (3) what the material teaches; and (4) the various forms and skills of the target language. In summary, AbdelWahab created a comprehensive system of evaluation of ELT textbooks, this evaluation system was created to facilitate curriculum comparison.</w:t>
      </w:r>
    </w:p>
    <w:p w14:paraId="07EDCB05" w14:textId="4D0BCC6C" w:rsidR="006436C1" w:rsidRPr="006436C1" w:rsidRDefault="00B5648B" w:rsidP="004B153A">
      <w:pPr>
        <w:spacing w:line="480" w:lineRule="auto"/>
        <w:ind w:firstLine="720"/>
        <w:rPr>
          <w:rFonts w:asciiTheme="majorBidi" w:hAnsiTheme="majorBidi" w:cstheme="majorBidi"/>
          <w:sz w:val="24"/>
          <w:szCs w:val="24"/>
          <w:lang w:val="en-US"/>
        </w:rPr>
      </w:pPr>
      <w:r w:rsidRPr="00B5648B">
        <w:rPr>
          <w:rFonts w:asciiTheme="majorBidi" w:hAnsiTheme="majorBidi" w:cstheme="majorBidi"/>
          <w:sz w:val="24"/>
          <w:szCs w:val="24"/>
          <w:lang w:val="en-US"/>
        </w:rPr>
        <w:t xml:space="preserve">Every </w:t>
      </w:r>
      <w:r>
        <w:rPr>
          <w:rFonts w:asciiTheme="majorBidi" w:hAnsiTheme="majorBidi" w:cstheme="majorBidi"/>
          <w:sz w:val="24"/>
          <w:szCs w:val="24"/>
          <w:lang w:val="en-US"/>
        </w:rPr>
        <w:t>item</w:t>
      </w:r>
      <w:r w:rsidRPr="00B5648B">
        <w:rPr>
          <w:rFonts w:asciiTheme="majorBidi" w:hAnsiTheme="majorBidi" w:cstheme="majorBidi"/>
          <w:sz w:val="24"/>
          <w:szCs w:val="24"/>
          <w:lang w:val="en-US"/>
        </w:rPr>
        <w:t xml:space="preserve"> in the checklist has been assessed according to a three-point scale, which allows for easy comparison of quantitative data with a simple understanding of analytic quality. A rating of 1 (Poor), which is defined as either being missing or substantially underdeveloped, indicates that the subject material corresponds to the lowest achievement (up to 64%). A rating of 2 (Satisfactory) means that there was, on balance, sufficient or acceptable development of the subject material between the scores of 65% and 74% corresponding to a rating of 3 (Good), where the subject material is adequately developed and thoroughly included in the text, which corresponds to a rating of 3 or higher (75% plus). The scoring system described above provides a way to minimize subjectivity and increase reliability through a consistent approach to evaluating all checks and domains.</w:t>
      </w:r>
    </w:p>
    <w:p w14:paraId="48922DDF" w14:textId="13988011" w:rsidR="006436C1" w:rsidRPr="006436C1" w:rsidRDefault="00B5648B" w:rsidP="004B153A">
      <w:pPr>
        <w:spacing w:line="480" w:lineRule="auto"/>
        <w:ind w:firstLine="720"/>
        <w:rPr>
          <w:rFonts w:asciiTheme="majorBidi" w:hAnsiTheme="majorBidi" w:cstheme="majorBidi"/>
          <w:sz w:val="24"/>
          <w:szCs w:val="24"/>
          <w:lang w:val="en-US"/>
        </w:rPr>
      </w:pPr>
      <w:r w:rsidRPr="00B5648B">
        <w:rPr>
          <w:rFonts w:asciiTheme="majorBidi" w:hAnsiTheme="majorBidi" w:cstheme="majorBidi"/>
          <w:sz w:val="24"/>
          <w:szCs w:val="24"/>
          <w:lang w:val="en-US"/>
        </w:rPr>
        <w:lastRenderedPageBreak/>
        <w:t xml:space="preserve">To analyze the data, the scores for each checklist item were added up to get domain-level totals and the mean scores for each textbook series. After that, these scores were turned into percentages so that they could be compared across areas with different numbers of items. A comparative analysis was performed by analyzing mean scores and percentage distributions for </w:t>
      </w:r>
      <w:r w:rsidRPr="00B5648B">
        <w:rPr>
          <w:rFonts w:asciiTheme="majorBidi" w:hAnsiTheme="majorBidi" w:cstheme="majorBidi"/>
          <w:i/>
          <w:iCs/>
          <w:sz w:val="24"/>
          <w:szCs w:val="24"/>
          <w:lang w:val="en-US"/>
        </w:rPr>
        <w:t>English for Iraq</w:t>
      </w:r>
      <w:r w:rsidRPr="00B5648B">
        <w:rPr>
          <w:rFonts w:asciiTheme="majorBidi" w:hAnsiTheme="majorBidi" w:cstheme="majorBidi"/>
          <w:sz w:val="24"/>
          <w:szCs w:val="24"/>
          <w:lang w:val="en-US"/>
        </w:rPr>
        <w:t xml:space="preserve"> and </w:t>
      </w:r>
      <w:r w:rsidRPr="00B5648B">
        <w:rPr>
          <w:rFonts w:asciiTheme="majorBidi" w:hAnsiTheme="majorBidi" w:cstheme="majorBidi"/>
          <w:i/>
          <w:iCs/>
          <w:sz w:val="24"/>
          <w:szCs w:val="24"/>
          <w:lang w:val="en-US"/>
        </w:rPr>
        <w:t>Prospect</w:t>
      </w:r>
      <w:r w:rsidRPr="00B5648B">
        <w:rPr>
          <w:rFonts w:asciiTheme="majorBidi" w:hAnsiTheme="majorBidi" w:cstheme="majorBidi"/>
          <w:sz w:val="24"/>
          <w:szCs w:val="24"/>
          <w:lang w:val="en-US"/>
        </w:rPr>
        <w:t xml:space="preserve"> within each evaluation domain. To make it easier to understand and clearer, the results are shown in tables, that show the similarities and differences between the two textbook series. This structured quantitative method made sure that the evaluation of the curricular content of the chosen textbooks was accurate, could be compared, and could be repeated.</w:t>
      </w:r>
    </w:p>
    <w:p w14:paraId="20FC9F67" w14:textId="5858684A" w:rsidR="003A11AC" w:rsidRPr="003A11AC" w:rsidRDefault="003A11AC" w:rsidP="003A11AC">
      <w:pPr>
        <w:spacing w:line="480" w:lineRule="auto"/>
        <w:rPr>
          <w:rFonts w:asciiTheme="majorBidi" w:hAnsiTheme="majorBidi" w:cstheme="majorBidi"/>
          <w:b/>
          <w:bCs/>
          <w:sz w:val="24"/>
          <w:szCs w:val="24"/>
          <w:lang w:val="en-US"/>
        </w:rPr>
      </w:pPr>
      <w:r w:rsidRPr="003A11AC">
        <w:rPr>
          <w:rFonts w:asciiTheme="majorBidi" w:hAnsiTheme="majorBidi" w:cstheme="majorBidi"/>
          <w:b/>
          <w:bCs/>
          <w:sz w:val="24"/>
          <w:szCs w:val="24"/>
          <w:lang w:val="en-US"/>
        </w:rPr>
        <w:t>4.</w:t>
      </w:r>
      <w:r w:rsidR="00151A47">
        <w:rPr>
          <w:rFonts w:asciiTheme="majorBidi" w:hAnsiTheme="majorBidi" w:cstheme="majorBidi"/>
          <w:b/>
          <w:bCs/>
          <w:sz w:val="24"/>
          <w:szCs w:val="24"/>
          <w:lang w:val="en-US"/>
        </w:rPr>
        <w:t>2.</w:t>
      </w:r>
      <w:r w:rsidRPr="003A11AC">
        <w:rPr>
          <w:rFonts w:asciiTheme="majorBidi" w:hAnsiTheme="majorBidi" w:cstheme="majorBidi"/>
          <w:b/>
          <w:bCs/>
          <w:sz w:val="24"/>
          <w:szCs w:val="24"/>
          <w:lang w:val="en-US"/>
        </w:rPr>
        <w:t>3 Quantitative Results by Checklist Dimension</w:t>
      </w:r>
    </w:p>
    <w:p w14:paraId="167BE61F" w14:textId="77777777" w:rsidR="003A11AC" w:rsidRPr="003A11AC" w:rsidRDefault="003A11AC" w:rsidP="003A11AC">
      <w:pPr>
        <w:spacing w:line="480" w:lineRule="auto"/>
        <w:rPr>
          <w:rFonts w:asciiTheme="majorBidi" w:hAnsiTheme="majorBidi" w:cstheme="majorBidi"/>
          <w:sz w:val="24"/>
          <w:szCs w:val="24"/>
          <w:lang w:val="en-US"/>
        </w:rPr>
      </w:pPr>
      <w:r w:rsidRPr="003A11AC">
        <w:rPr>
          <w:rFonts w:asciiTheme="majorBidi" w:hAnsiTheme="majorBidi" w:cstheme="majorBidi"/>
          <w:sz w:val="24"/>
          <w:szCs w:val="24"/>
          <w:lang w:val="en-US"/>
        </w:rPr>
        <w:t xml:space="preserve">This section presents the quantitative findings derived from the application of AbdelWahab’s (2013) checklist to </w:t>
      </w:r>
      <w:r w:rsidRPr="003A11AC">
        <w:rPr>
          <w:rFonts w:asciiTheme="majorBidi" w:hAnsiTheme="majorBidi" w:cstheme="majorBidi"/>
          <w:i/>
          <w:iCs/>
          <w:sz w:val="24"/>
          <w:szCs w:val="24"/>
          <w:lang w:val="en-US"/>
        </w:rPr>
        <w:t>English for Iraq</w:t>
      </w:r>
      <w:r w:rsidRPr="003A11AC">
        <w:rPr>
          <w:rFonts w:asciiTheme="majorBidi" w:hAnsiTheme="majorBidi" w:cstheme="majorBidi"/>
          <w:sz w:val="24"/>
          <w:szCs w:val="24"/>
          <w:lang w:val="en-US"/>
        </w:rPr>
        <w:t xml:space="preserve"> (Grade 9) and </w:t>
      </w:r>
      <w:r w:rsidRPr="003A11AC">
        <w:rPr>
          <w:rFonts w:asciiTheme="majorBidi" w:hAnsiTheme="majorBidi" w:cstheme="majorBidi"/>
          <w:i/>
          <w:iCs/>
          <w:sz w:val="24"/>
          <w:szCs w:val="24"/>
          <w:lang w:val="en-US"/>
        </w:rPr>
        <w:t>Prospect 3</w:t>
      </w:r>
      <w:r w:rsidRPr="003A11AC">
        <w:rPr>
          <w:rFonts w:asciiTheme="majorBidi" w:hAnsiTheme="majorBidi" w:cstheme="majorBidi"/>
          <w:sz w:val="24"/>
          <w:szCs w:val="24"/>
          <w:lang w:val="en-US"/>
        </w:rPr>
        <w:t>. The results are organized according to the major checklist dimensions. Mean scores and percentages are reported to allow systematic comparison between the two textbook series. The findings are presented descriptively, with tables used to summarize and clarify numerical differences across evaluation dimensions.</w:t>
      </w:r>
    </w:p>
    <w:p w14:paraId="02737B7B" w14:textId="52A5C875" w:rsidR="003A11AC" w:rsidRPr="003A11AC" w:rsidRDefault="003A11AC" w:rsidP="003A11AC">
      <w:pPr>
        <w:spacing w:line="480" w:lineRule="auto"/>
        <w:rPr>
          <w:rFonts w:asciiTheme="majorBidi" w:hAnsiTheme="majorBidi" w:cstheme="majorBidi"/>
          <w:b/>
          <w:bCs/>
          <w:i/>
          <w:iCs/>
          <w:sz w:val="24"/>
          <w:szCs w:val="24"/>
          <w:lang w:val="en-US"/>
        </w:rPr>
      </w:pPr>
      <w:r w:rsidRPr="003A11AC">
        <w:rPr>
          <w:rFonts w:asciiTheme="majorBidi" w:hAnsiTheme="majorBidi" w:cstheme="majorBidi"/>
          <w:b/>
          <w:bCs/>
          <w:i/>
          <w:iCs/>
          <w:sz w:val="24"/>
          <w:szCs w:val="24"/>
          <w:lang w:val="en-US"/>
        </w:rPr>
        <w:t>Physical and Aesthetic Features</w:t>
      </w:r>
    </w:p>
    <w:p w14:paraId="278F62AA" w14:textId="51D8FC67" w:rsidR="00C8285F" w:rsidRPr="003A11AC" w:rsidRDefault="003A11AC" w:rsidP="00266634">
      <w:pPr>
        <w:spacing w:line="480" w:lineRule="auto"/>
        <w:rPr>
          <w:rFonts w:asciiTheme="majorBidi" w:hAnsiTheme="majorBidi" w:cstheme="majorBidi"/>
          <w:sz w:val="24"/>
          <w:szCs w:val="24"/>
          <w:lang w:val="en-US"/>
        </w:rPr>
      </w:pPr>
      <w:r w:rsidRPr="003A11AC">
        <w:rPr>
          <w:rFonts w:asciiTheme="majorBidi" w:hAnsiTheme="majorBidi" w:cstheme="majorBidi"/>
          <w:sz w:val="24"/>
          <w:szCs w:val="24"/>
          <w:lang w:val="en-US"/>
        </w:rPr>
        <w:t xml:space="preserve">The physical and aesthetic features dimension evaluated layout organization, print quality, illustration relevance, textbook size, and overall visual clarity. </w:t>
      </w:r>
      <w:r w:rsidR="00C8285F" w:rsidRPr="00C8285F">
        <w:rPr>
          <w:rFonts w:asciiTheme="majorBidi" w:hAnsiTheme="majorBidi" w:cstheme="majorBidi"/>
          <w:sz w:val="24"/>
          <w:szCs w:val="24"/>
          <w:lang w:val="en-US"/>
        </w:rPr>
        <w:t>Both textbooks were found to meet acceptable standards in terms of their physical attributes; however, there were notable differences in terms of their ability to provide visual engagement and contextual relevance to the reader</w:t>
      </w:r>
      <w:r w:rsidRPr="003A11AC">
        <w:rPr>
          <w:rFonts w:asciiTheme="majorBidi" w:hAnsiTheme="majorBidi" w:cstheme="majorBidi"/>
          <w:sz w:val="24"/>
          <w:szCs w:val="24"/>
          <w:lang w:val="en-US"/>
        </w:rPr>
        <w:t>.</w:t>
      </w:r>
    </w:p>
    <w:p w14:paraId="5392F512" w14:textId="77777777" w:rsidR="003A11AC" w:rsidRPr="003A11AC" w:rsidRDefault="003A11AC" w:rsidP="003A11AC">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b/>
          <w:bCs/>
          <w:kern w:val="0"/>
          <w:sz w:val="24"/>
          <w:szCs w:val="24"/>
          <w:lang w:val="en-US"/>
          <w14:ligatures w14:val="none"/>
        </w:rPr>
        <w:t>Table 4.1</w:t>
      </w:r>
      <w:r w:rsidRPr="003A11AC">
        <w:rPr>
          <w:rFonts w:ascii="Times New Roman" w:eastAsia="Times New Roman" w:hAnsi="Times New Roman" w:cs="Times New Roman"/>
          <w:kern w:val="0"/>
          <w:sz w:val="24"/>
          <w:szCs w:val="24"/>
          <w:lang w:val="en-US"/>
          <w14:ligatures w14:val="none"/>
        </w:rPr>
        <w:br/>
      </w:r>
      <w:r w:rsidRPr="003A11AC">
        <w:rPr>
          <w:rFonts w:ascii="Times New Roman" w:eastAsia="Times New Roman" w:hAnsi="Times New Roman" w:cs="Times New Roman"/>
          <w:i/>
          <w:iCs/>
          <w:kern w:val="0"/>
          <w:sz w:val="24"/>
          <w:szCs w:val="24"/>
          <w:lang w:val="en-US"/>
          <w14:ligatures w14:val="none"/>
        </w:rPr>
        <w:t>Physical and Aesthetic Features</w:t>
      </w:r>
    </w:p>
    <w:tbl>
      <w:tblPr>
        <w:tblStyle w:val="TableGrid"/>
        <w:tblW w:w="8173" w:type="dxa"/>
        <w:tblLook w:val="04A0" w:firstRow="1" w:lastRow="0" w:firstColumn="1" w:lastColumn="0" w:noHBand="0" w:noVBand="1"/>
      </w:tblPr>
      <w:tblGrid>
        <w:gridCol w:w="2613"/>
        <w:gridCol w:w="2161"/>
        <w:gridCol w:w="2030"/>
        <w:gridCol w:w="1369"/>
      </w:tblGrid>
      <w:tr w:rsidR="003A11AC" w:rsidRPr="003A11AC" w14:paraId="0DDC0032" w14:textId="77777777" w:rsidTr="004B153A">
        <w:trPr>
          <w:trHeight w:val="582"/>
        </w:trPr>
        <w:tc>
          <w:tcPr>
            <w:tcW w:w="0" w:type="auto"/>
            <w:tcBorders>
              <w:left w:val="single" w:sz="4" w:space="0" w:color="FFFFFF" w:themeColor="background1"/>
              <w:right w:val="single" w:sz="4" w:space="0" w:color="FFFFFF" w:themeColor="background1"/>
            </w:tcBorders>
            <w:hideMark/>
          </w:tcPr>
          <w:p w14:paraId="47D0A73A" w14:textId="77777777" w:rsidR="003A11AC" w:rsidRPr="003A11AC" w:rsidRDefault="003A11AC" w:rsidP="004B153A">
            <w:pPr>
              <w:rPr>
                <w:rFonts w:ascii="Times New Roman" w:eastAsia="Times New Roman" w:hAnsi="Times New Roman" w:cs="Times New Roman"/>
                <w:b/>
                <w:bCs/>
                <w:kern w:val="0"/>
                <w:sz w:val="24"/>
                <w:szCs w:val="24"/>
                <w:lang w:val="en-US"/>
                <w14:ligatures w14:val="none"/>
              </w:rPr>
            </w:pPr>
            <w:r w:rsidRPr="003A11AC">
              <w:rPr>
                <w:rFonts w:ascii="Times New Roman" w:eastAsia="Times New Roman" w:hAnsi="Times New Roman" w:cs="Times New Roman"/>
                <w:b/>
                <w:bCs/>
                <w:kern w:val="0"/>
                <w:sz w:val="24"/>
                <w:szCs w:val="24"/>
                <w:lang w:val="en-US"/>
                <w14:ligatures w14:val="none"/>
              </w:rPr>
              <w:lastRenderedPageBreak/>
              <w:t>Textbook</w:t>
            </w:r>
          </w:p>
        </w:tc>
        <w:tc>
          <w:tcPr>
            <w:tcW w:w="0" w:type="auto"/>
            <w:tcBorders>
              <w:left w:val="single" w:sz="4" w:space="0" w:color="FFFFFF" w:themeColor="background1"/>
              <w:right w:val="single" w:sz="4" w:space="0" w:color="FFFFFF" w:themeColor="background1"/>
            </w:tcBorders>
            <w:hideMark/>
          </w:tcPr>
          <w:p w14:paraId="2AAC474B" w14:textId="77777777" w:rsidR="003A11AC" w:rsidRPr="003A11AC" w:rsidRDefault="003A11AC" w:rsidP="004B153A">
            <w:pPr>
              <w:jc w:val="center"/>
              <w:rPr>
                <w:rFonts w:ascii="Times New Roman" w:eastAsia="Times New Roman" w:hAnsi="Times New Roman" w:cs="Times New Roman"/>
                <w:b/>
                <w:bCs/>
                <w:kern w:val="0"/>
                <w:sz w:val="24"/>
                <w:szCs w:val="24"/>
                <w:lang w:val="en-US"/>
                <w14:ligatures w14:val="none"/>
              </w:rPr>
            </w:pPr>
            <w:r w:rsidRPr="003A11AC">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themeColor="background1"/>
              <w:right w:val="single" w:sz="4" w:space="0" w:color="FFFFFF" w:themeColor="background1"/>
            </w:tcBorders>
            <w:hideMark/>
          </w:tcPr>
          <w:p w14:paraId="2E37DF50" w14:textId="77777777" w:rsidR="003A11AC" w:rsidRPr="003A11AC" w:rsidRDefault="003A11AC" w:rsidP="004B153A">
            <w:pPr>
              <w:jc w:val="center"/>
              <w:rPr>
                <w:rFonts w:ascii="Times New Roman" w:eastAsia="Times New Roman" w:hAnsi="Times New Roman" w:cs="Times New Roman"/>
                <w:b/>
                <w:bCs/>
                <w:kern w:val="0"/>
                <w:sz w:val="24"/>
                <w:szCs w:val="24"/>
                <w:lang w:val="en-US"/>
                <w14:ligatures w14:val="none"/>
              </w:rPr>
            </w:pPr>
            <w:r w:rsidRPr="003A11AC">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themeColor="background1"/>
              <w:right w:val="single" w:sz="4" w:space="0" w:color="FFFFFF" w:themeColor="background1"/>
            </w:tcBorders>
            <w:hideMark/>
          </w:tcPr>
          <w:p w14:paraId="307EDC73" w14:textId="77777777" w:rsidR="003A11AC" w:rsidRPr="003A11AC" w:rsidRDefault="003A11AC" w:rsidP="004B153A">
            <w:pPr>
              <w:jc w:val="center"/>
              <w:rPr>
                <w:rFonts w:ascii="Times New Roman" w:eastAsia="Times New Roman" w:hAnsi="Times New Roman" w:cs="Times New Roman"/>
                <w:b/>
                <w:bCs/>
                <w:kern w:val="0"/>
                <w:sz w:val="24"/>
                <w:szCs w:val="24"/>
                <w:lang w:val="en-US"/>
                <w14:ligatures w14:val="none"/>
              </w:rPr>
            </w:pPr>
            <w:r w:rsidRPr="003A11AC">
              <w:rPr>
                <w:rFonts w:ascii="Times New Roman" w:eastAsia="Times New Roman" w:hAnsi="Times New Roman" w:cs="Times New Roman"/>
                <w:b/>
                <w:bCs/>
                <w:kern w:val="0"/>
                <w:sz w:val="24"/>
                <w:szCs w:val="24"/>
                <w:lang w:val="en-US"/>
                <w14:ligatures w14:val="none"/>
              </w:rPr>
              <w:t>Rating</w:t>
            </w:r>
          </w:p>
        </w:tc>
      </w:tr>
      <w:tr w:rsidR="003A11AC" w:rsidRPr="003A11AC" w14:paraId="1B06850F" w14:textId="77777777" w:rsidTr="004B153A">
        <w:trPr>
          <w:trHeight w:val="582"/>
        </w:trPr>
        <w:tc>
          <w:tcPr>
            <w:tcW w:w="0" w:type="auto"/>
            <w:tcBorders>
              <w:left w:val="single" w:sz="4" w:space="0" w:color="FFFFFF" w:themeColor="background1"/>
              <w:bottom w:val="single" w:sz="4" w:space="0" w:color="FFFFFF" w:themeColor="background1"/>
              <w:right w:val="single" w:sz="4" w:space="0" w:color="FFFFFF" w:themeColor="background1"/>
            </w:tcBorders>
            <w:hideMark/>
          </w:tcPr>
          <w:p w14:paraId="4C003E87" w14:textId="77777777" w:rsidR="003A11AC" w:rsidRPr="003A11AC" w:rsidRDefault="003A11AC" w:rsidP="003A11AC">
            <w:pP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themeColor="background1"/>
              <w:bottom w:val="single" w:sz="4" w:space="0" w:color="FFFFFF" w:themeColor="background1"/>
              <w:right w:val="single" w:sz="4" w:space="0" w:color="FFFFFF" w:themeColor="background1"/>
            </w:tcBorders>
            <w:hideMark/>
          </w:tcPr>
          <w:p w14:paraId="406B9C02" w14:textId="77777777" w:rsidR="003A11AC" w:rsidRPr="003A11AC" w:rsidRDefault="003A11AC" w:rsidP="004B153A">
            <w:pPr>
              <w:jc w:val="cente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2.60</w:t>
            </w:r>
          </w:p>
        </w:tc>
        <w:tc>
          <w:tcPr>
            <w:tcW w:w="0" w:type="auto"/>
            <w:tcBorders>
              <w:left w:val="single" w:sz="4" w:space="0" w:color="FFFFFF" w:themeColor="background1"/>
              <w:bottom w:val="single" w:sz="4" w:space="0" w:color="FFFFFF" w:themeColor="background1"/>
              <w:right w:val="single" w:sz="4" w:space="0" w:color="FFFFFF" w:themeColor="background1"/>
            </w:tcBorders>
            <w:hideMark/>
          </w:tcPr>
          <w:p w14:paraId="7B4CBFD5" w14:textId="77777777" w:rsidR="003A11AC" w:rsidRPr="003A11AC" w:rsidRDefault="003A11AC" w:rsidP="004B153A">
            <w:pPr>
              <w:jc w:val="cente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86.7%</w:t>
            </w:r>
          </w:p>
        </w:tc>
        <w:tc>
          <w:tcPr>
            <w:tcW w:w="0" w:type="auto"/>
            <w:tcBorders>
              <w:left w:val="single" w:sz="4" w:space="0" w:color="FFFFFF" w:themeColor="background1"/>
              <w:bottom w:val="single" w:sz="4" w:space="0" w:color="FFFFFF" w:themeColor="background1"/>
              <w:right w:val="single" w:sz="4" w:space="0" w:color="FFFFFF" w:themeColor="background1"/>
            </w:tcBorders>
            <w:hideMark/>
          </w:tcPr>
          <w:p w14:paraId="4A6836AE" w14:textId="77777777" w:rsidR="003A11AC" w:rsidRPr="003A11AC" w:rsidRDefault="003A11AC" w:rsidP="004B153A">
            <w:pPr>
              <w:jc w:val="cente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Good</w:t>
            </w:r>
          </w:p>
        </w:tc>
      </w:tr>
      <w:tr w:rsidR="003A11AC" w:rsidRPr="003A11AC" w14:paraId="60695386" w14:textId="77777777" w:rsidTr="004B153A">
        <w:trPr>
          <w:trHeight w:val="557"/>
        </w:trPr>
        <w:tc>
          <w:tcPr>
            <w:tcW w:w="0" w:type="auto"/>
            <w:tcBorders>
              <w:top w:val="single" w:sz="4" w:space="0" w:color="FFFFFF" w:themeColor="background1"/>
              <w:left w:val="single" w:sz="4" w:space="0" w:color="FFFFFF" w:themeColor="background1"/>
              <w:right w:val="single" w:sz="4" w:space="0" w:color="FFFFFF" w:themeColor="background1"/>
            </w:tcBorders>
            <w:hideMark/>
          </w:tcPr>
          <w:p w14:paraId="642B4DBD" w14:textId="77777777" w:rsidR="003A11AC" w:rsidRPr="003A11AC" w:rsidRDefault="003A11AC" w:rsidP="003A11AC">
            <w:pP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themeColor="background1"/>
              <w:left w:val="single" w:sz="4" w:space="0" w:color="FFFFFF" w:themeColor="background1"/>
              <w:right w:val="single" w:sz="4" w:space="0" w:color="FFFFFF" w:themeColor="background1"/>
            </w:tcBorders>
            <w:hideMark/>
          </w:tcPr>
          <w:p w14:paraId="6C523BD3" w14:textId="77777777" w:rsidR="003A11AC" w:rsidRPr="003A11AC" w:rsidRDefault="003A11AC" w:rsidP="004B153A">
            <w:pPr>
              <w:jc w:val="cente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2.80</w:t>
            </w:r>
          </w:p>
        </w:tc>
        <w:tc>
          <w:tcPr>
            <w:tcW w:w="0" w:type="auto"/>
            <w:tcBorders>
              <w:top w:val="single" w:sz="4" w:space="0" w:color="FFFFFF" w:themeColor="background1"/>
              <w:left w:val="single" w:sz="4" w:space="0" w:color="FFFFFF" w:themeColor="background1"/>
              <w:right w:val="single" w:sz="4" w:space="0" w:color="FFFFFF" w:themeColor="background1"/>
            </w:tcBorders>
            <w:hideMark/>
          </w:tcPr>
          <w:p w14:paraId="29CE0AA2" w14:textId="77777777" w:rsidR="003A11AC" w:rsidRPr="003A11AC" w:rsidRDefault="003A11AC" w:rsidP="004B153A">
            <w:pPr>
              <w:jc w:val="cente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93.3%</w:t>
            </w:r>
          </w:p>
        </w:tc>
        <w:tc>
          <w:tcPr>
            <w:tcW w:w="0" w:type="auto"/>
            <w:tcBorders>
              <w:top w:val="single" w:sz="4" w:space="0" w:color="FFFFFF" w:themeColor="background1"/>
              <w:left w:val="single" w:sz="4" w:space="0" w:color="FFFFFF" w:themeColor="background1"/>
              <w:right w:val="single" w:sz="4" w:space="0" w:color="FFFFFF" w:themeColor="background1"/>
            </w:tcBorders>
            <w:hideMark/>
          </w:tcPr>
          <w:p w14:paraId="607AC1CA" w14:textId="77777777" w:rsidR="003A11AC" w:rsidRPr="003A11AC" w:rsidRDefault="003A11AC" w:rsidP="004B153A">
            <w:pPr>
              <w:jc w:val="center"/>
              <w:rPr>
                <w:rFonts w:ascii="Times New Roman" w:eastAsia="Times New Roman" w:hAnsi="Times New Roman" w:cs="Times New Roman"/>
                <w:kern w:val="0"/>
                <w:sz w:val="24"/>
                <w:szCs w:val="24"/>
                <w:lang w:val="en-US"/>
                <w14:ligatures w14:val="none"/>
              </w:rPr>
            </w:pPr>
            <w:r w:rsidRPr="003A11AC">
              <w:rPr>
                <w:rFonts w:ascii="Times New Roman" w:eastAsia="Times New Roman" w:hAnsi="Times New Roman" w:cs="Times New Roman"/>
                <w:kern w:val="0"/>
                <w:sz w:val="24"/>
                <w:szCs w:val="24"/>
                <w:lang w:val="en-US"/>
                <w14:ligatures w14:val="none"/>
              </w:rPr>
              <w:t>Good</w:t>
            </w:r>
          </w:p>
        </w:tc>
      </w:tr>
    </w:tbl>
    <w:p w14:paraId="6DDCA1B0" w14:textId="77777777" w:rsidR="004B153A" w:rsidRDefault="004B153A" w:rsidP="003A11AC">
      <w:pPr>
        <w:spacing w:line="480" w:lineRule="auto"/>
        <w:rPr>
          <w:rFonts w:asciiTheme="majorBidi" w:hAnsiTheme="majorBidi" w:cstheme="majorBidi"/>
          <w:b/>
          <w:bCs/>
          <w:sz w:val="24"/>
          <w:szCs w:val="24"/>
          <w:lang w:val="en-US"/>
        </w:rPr>
      </w:pPr>
    </w:p>
    <w:p w14:paraId="21C52954" w14:textId="577C5235" w:rsidR="00266634" w:rsidRPr="00266634" w:rsidRDefault="00266634" w:rsidP="009E4A66">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As can be seen in table 4.1, t</w:t>
      </w:r>
      <w:r w:rsidRPr="00C8285F">
        <w:rPr>
          <w:rFonts w:asciiTheme="majorBidi" w:hAnsiTheme="majorBidi" w:cstheme="majorBidi"/>
          <w:sz w:val="24"/>
          <w:szCs w:val="24"/>
          <w:lang w:val="en-US"/>
        </w:rPr>
        <w:t xml:space="preserve">he mean score for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was higher than that of the English for Iraq material because of better visual cohesiveness, greater consistency in font selection, and illustrations that relate more closely to lesson content and learner context. Meanwhile, </w:t>
      </w:r>
      <w:r w:rsidRPr="00C8285F">
        <w:rPr>
          <w:rFonts w:asciiTheme="majorBidi" w:hAnsiTheme="majorBidi" w:cstheme="majorBidi"/>
          <w:i/>
          <w:iCs/>
          <w:sz w:val="24"/>
          <w:szCs w:val="24"/>
          <w:lang w:val="en-US"/>
        </w:rPr>
        <w:t>English for Iraq's</w:t>
      </w:r>
      <w:r w:rsidRPr="00C8285F">
        <w:rPr>
          <w:rFonts w:asciiTheme="majorBidi" w:hAnsiTheme="majorBidi" w:cstheme="majorBidi"/>
          <w:sz w:val="24"/>
          <w:szCs w:val="24"/>
          <w:lang w:val="en-US"/>
        </w:rPr>
        <w:t xml:space="preserve"> printed materials had adequate levels of print quality &amp; durability, but used more than just standard visual images; their images were less contextually embedded.</w:t>
      </w:r>
    </w:p>
    <w:p w14:paraId="1461358C" w14:textId="3D0807B9" w:rsidR="003A11AC" w:rsidRPr="003A11AC" w:rsidRDefault="003A11AC" w:rsidP="003A11AC">
      <w:pPr>
        <w:spacing w:line="480" w:lineRule="auto"/>
        <w:rPr>
          <w:rFonts w:asciiTheme="majorBidi" w:hAnsiTheme="majorBidi" w:cstheme="majorBidi"/>
          <w:b/>
          <w:bCs/>
          <w:i/>
          <w:iCs/>
          <w:sz w:val="24"/>
          <w:szCs w:val="24"/>
          <w:lang w:val="en-US"/>
        </w:rPr>
      </w:pPr>
      <w:r w:rsidRPr="003A11AC">
        <w:rPr>
          <w:rFonts w:asciiTheme="majorBidi" w:hAnsiTheme="majorBidi" w:cstheme="majorBidi"/>
          <w:b/>
          <w:bCs/>
          <w:i/>
          <w:iCs/>
          <w:sz w:val="24"/>
          <w:szCs w:val="24"/>
          <w:lang w:val="en-US"/>
        </w:rPr>
        <w:t>Objectives</w:t>
      </w:r>
    </w:p>
    <w:p w14:paraId="719DC888" w14:textId="2268FF3C" w:rsidR="00C8285F" w:rsidRPr="003A11AC" w:rsidRDefault="00C8285F" w:rsidP="004E44E9">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In this dimension, the clarity and alignment of instructional objectives with the curriculum were examined along with the direction of the objectives towards communicative or grammatical outcomes</w:t>
      </w:r>
      <w:r w:rsidR="002D4611">
        <w:rPr>
          <w:rFonts w:asciiTheme="majorBidi" w:hAnsiTheme="majorBidi" w:cstheme="majorBidi"/>
          <w:sz w:val="24"/>
          <w:szCs w:val="24"/>
          <w:lang w:val="en-US"/>
        </w:rPr>
        <w:t>, the results of which are presented in table 4.2.</w:t>
      </w:r>
    </w:p>
    <w:p w14:paraId="6BE4FA24"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Table 4.2</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Objectives</w:t>
      </w:r>
    </w:p>
    <w:tbl>
      <w:tblPr>
        <w:tblStyle w:val="TableGrid"/>
        <w:tblW w:w="8559" w:type="dxa"/>
        <w:tblLook w:val="04A0" w:firstRow="1" w:lastRow="0" w:firstColumn="1" w:lastColumn="0" w:noHBand="0" w:noVBand="1"/>
      </w:tblPr>
      <w:tblGrid>
        <w:gridCol w:w="2736"/>
        <w:gridCol w:w="2263"/>
        <w:gridCol w:w="2126"/>
        <w:gridCol w:w="1434"/>
      </w:tblGrid>
      <w:tr w:rsidR="004E3059" w:rsidRPr="004E3059" w14:paraId="3F825C14" w14:textId="77777777" w:rsidTr="004B153A">
        <w:trPr>
          <w:trHeight w:val="594"/>
        </w:trPr>
        <w:tc>
          <w:tcPr>
            <w:tcW w:w="0" w:type="auto"/>
            <w:tcBorders>
              <w:left w:val="single" w:sz="4" w:space="0" w:color="FFFFFF"/>
              <w:right w:val="single" w:sz="4" w:space="0" w:color="FFFFFF"/>
            </w:tcBorders>
            <w:hideMark/>
          </w:tcPr>
          <w:p w14:paraId="4A5D24C6" w14:textId="77777777" w:rsidR="004E3059" w:rsidRPr="004E3059" w:rsidRDefault="004E3059" w:rsidP="004B153A">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Textbook</w:t>
            </w:r>
          </w:p>
        </w:tc>
        <w:tc>
          <w:tcPr>
            <w:tcW w:w="0" w:type="auto"/>
            <w:tcBorders>
              <w:left w:val="single" w:sz="4" w:space="0" w:color="FFFFFF"/>
              <w:right w:val="single" w:sz="4" w:space="0" w:color="FFFFFF"/>
            </w:tcBorders>
            <w:hideMark/>
          </w:tcPr>
          <w:p w14:paraId="725896C5" w14:textId="77777777" w:rsidR="004E3059" w:rsidRPr="004E3059" w:rsidRDefault="004E3059" w:rsidP="004B153A">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right w:val="single" w:sz="4" w:space="0" w:color="FFFFFF"/>
            </w:tcBorders>
            <w:hideMark/>
          </w:tcPr>
          <w:p w14:paraId="4B9CF169" w14:textId="77777777" w:rsidR="004E3059" w:rsidRPr="004E3059" w:rsidRDefault="004E3059" w:rsidP="004B153A">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right w:val="single" w:sz="4" w:space="0" w:color="FFFFFF"/>
            </w:tcBorders>
            <w:hideMark/>
          </w:tcPr>
          <w:p w14:paraId="5EE62E12" w14:textId="77777777" w:rsidR="004E3059" w:rsidRPr="004E3059" w:rsidRDefault="004E3059" w:rsidP="004B153A">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Rating</w:t>
            </w:r>
          </w:p>
        </w:tc>
      </w:tr>
      <w:tr w:rsidR="004E3059" w:rsidRPr="004E3059" w14:paraId="11A449B8" w14:textId="77777777" w:rsidTr="004B153A">
        <w:trPr>
          <w:trHeight w:val="594"/>
        </w:trPr>
        <w:tc>
          <w:tcPr>
            <w:tcW w:w="0" w:type="auto"/>
            <w:tcBorders>
              <w:left w:val="single" w:sz="4" w:space="0" w:color="FFFFFF"/>
              <w:bottom w:val="single" w:sz="4" w:space="0" w:color="FFFFFF"/>
              <w:right w:val="single" w:sz="4" w:space="0" w:color="FFFFFF"/>
            </w:tcBorders>
            <w:hideMark/>
          </w:tcPr>
          <w:p w14:paraId="0713488E"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bottom w:val="single" w:sz="4" w:space="0" w:color="FFFFFF"/>
              <w:right w:val="single" w:sz="4" w:space="0" w:color="FFFFFF"/>
            </w:tcBorders>
            <w:hideMark/>
          </w:tcPr>
          <w:p w14:paraId="09D32889" w14:textId="77777777" w:rsidR="004E3059" w:rsidRPr="004E3059" w:rsidRDefault="004E3059" w:rsidP="004B153A">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left w:val="single" w:sz="4" w:space="0" w:color="FFFFFF"/>
              <w:bottom w:val="single" w:sz="4" w:space="0" w:color="FFFFFF"/>
              <w:right w:val="single" w:sz="4" w:space="0" w:color="FFFFFF"/>
            </w:tcBorders>
            <w:hideMark/>
          </w:tcPr>
          <w:p w14:paraId="04C6C50C" w14:textId="77777777" w:rsidR="004E3059" w:rsidRPr="004E3059" w:rsidRDefault="004E3059" w:rsidP="004B153A">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c>
          <w:tcPr>
            <w:tcW w:w="0" w:type="auto"/>
            <w:tcBorders>
              <w:left w:val="single" w:sz="4" w:space="0" w:color="FFFFFF"/>
              <w:bottom w:val="single" w:sz="4" w:space="0" w:color="FFFFFF"/>
              <w:right w:val="single" w:sz="4" w:space="0" w:color="FFFFFF"/>
            </w:tcBorders>
            <w:hideMark/>
          </w:tcPr>
          <w:p w14:paraId="58821674" w14:textId="77777777" w:rsidR="004E3059" w:rsidRPr="004E3059" w:rsidRDefault="004E3059" w:rsidP="004B153A">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r w:rsidR="004E3059" w:rsidRPr="004E3059" w14:paraId="5476D8BA" w14:textId="77777777" w:rsidTr="004B153A">
        <w:trPr>
          <w:trHeight w:val="568"/>
        </w:trPr>
        <w:tc>
          <w:tcPr>
            <w:tcW w:w="0" w:type="auto"/>
            <w:tcBorders>
              <w:top w:val="single" w:sz="4" w:space="0" w:color="FFFFFF"/>
              <w:left w:val="single" w:sz="4" w:space="0" w:color="FFFFFF"/>
              <w:right w:val="single" w:sz="4" w:space="0" w:color="FFFFFF"/>
            </w:tcBorders>
            <w:hideMark/>
          </w:tcPr>
          <w:p w14:paraId="66ACC8B2"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left w:val="single" w:sz="4" w:space="0" w:color="FFFFFF"/>
              <w:right w:val="single" w:sz="4" w:space="0" w:color="FFFFFF"/>
            </w:tcBorders>
            <w:hideMark/>
          </w:tcPr>
          <w:p w14:paraId="0D9C3EFE" w14:textId="77777777" w:rsidR="004E3059" w:rsidRPr="004E3059" w:rsidRDefault="004E3059" w:rsidP="004B153A">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2.90</w:t>
            </w:r>
          </w:p>
        </w:tc>
        <w:tc>
          <w:tcPr>
            <w:tcW w:w="0" w:type="auto"/>
            <w:tcBorders>
              <w:top w:val="single" w:sz="4" w:space="0" w:color="FFFFFF"/>
              <w:left w:val="single" w:sz="4" w:space="0" w:color="FFFFFF"/>
              <w:right w:val="single" w:sz="4" w:space="0" w:color="FFFFFF"/>
            </w:tcBorders>
            <w:hideMark/>
          </w:tcPr>
          <w:p w14:paraId="3E294015" w14:textId="77777777" w:rsidR="004E3059" w:rsidRPr="004E3059" w:rsidRDefault="004E3059" w:rsidP="004B153A">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96.7%</w:t>
            </w:r>
          </w:p>
        </w:tc>
        <w:tc>
          <w:tcPr>
            <w:tcW w:w="0" w:type="auto"/>
            <w:tcBorders>
              <w:top w:val="single" w:sz="4" w:space="0" w:color="FFFFFF"/>
              <w:left w:val="single" w:sz="4" w:space="0" w:color="FFFFFF"/>
              <w:right w:val="single" w:sz="4" w:space="0" w:color="FFFFFF"/>
            </w:tcBorders>
            <w:hideMark/>
          </w:tcPr>
          <w:p w14:paraId="4F8C4D1B" w14:textId="77777777" w:rsidR="004E3059" w:rsidRPr="004E3059" w:rsidRDefault="004E3059" w:rsidP="004B153A">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bl>
    <w:p w14:paraId="355F4C73" w14:textId="77777777" w:rsidR="009E4A66" w:rsidRDefault="009E4A66" w:rsidP="004E44E9">
      <w:pPr>
        <w:spacing w:line="480" w:lineRule="auto"/>
        <w:ind w:firstLine="720"/>
        <w:rPr>
          <w:rFonts w:asciiTheme="majorBidi" w:hAnsiTheme="majorBidi" w:cstheme="majorBidi"/>
          <w:sz w:val="24"/>
          <w:szCs w:val="24"/>
          <w:lang w:val="en-US"/>
        </w:rPr>
      </w:pPr>
    </w:p>
    <w:p w14:paraId="765337AE" w14:textId="4EF202B9" w:rsidR="004E44E9" w:rsidRDefault="004E44E9" w:rsidP="009E4A66">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 xml:space="preserve">The results revealed that the learning objectives described in </w:t>
      </w:r>
      <w:r w:rsidRPr="004E44E9">
        <w:rPr>
          <w:rFonts w:asciiTheme="majorBidi" w:hAnsiTheme="majorBidi" w:cstheme="majorBidi"/>
          <w:i/>
          <w:iCs/>
          <w:sz w:val="24"/>
          <w:szCs w:val="24"/>
          <w:lang w:val="en-US"/>
        </w:rPr>
        <w:t>P</w:t>
      </w:r>
      <w:r w:rsidRPr="00C8285F">
        <w:rPr>
          <w:rFonts w:asciiTheme="majorBidi" w:hAnsiTheme="majorBidi" w:cstheme="majorBidi"/>
          <w:i/>
          <w:iCs/>
          <w:sz w:val="24"/>
          <w:szCs w:val="24"/>
          <w:lang w:val="en-US"/>
        </w:rPr>
        <w:t>rospect 3</w:t>
      </w:r>
      <w:r w:rsidRPr="00C8285F">
        <w:rPr>
          <w:rFonts w:asciiTheme="majorBidi" w:hAnsiTheme="majorBidi" w:cstheme="majorBidi"/>
          <w:sz w:val="24"/>
          <w:szCs w:val="24"/>
          <w:lang w:val="en-US"/>
        </w:rPr>
        <w:t xml:space="preserve"> clearly demonstrate the alignment of the objectives with the national curriculum, and they emphasize the importance of both communicative competence and student participation. Unit tasks and activities explicitly demonstrate each specific objective. In comparison, </w:t>
      </w:r>
      <w:r w:rsidRPr="00C8285F">
        <w:rPr>
          <w:rFonts w:asciiTheme="majorBidi" w:hAnsiTheme="majorBidi" w:cstheme="majorBidi"/>
          <w:i/>
          <w:iCs/>
          <w:sz w:val="24"/>
          <w:szCs w:val="24"/>
          <w:lang w:val="en-US"/>
        </w:rPr>
        <w:t>English for Iraq</w:t>
      </w:r>
      <w:r w:rsidRPr="00C8285F">
        <w:rPr>
          <w:rFonts w:asciiTheme="majorBidi" w:hAnsiTheme="majorBidi" w:cstheme="majorBidi"/>
          <w:sz w:val="24"/>
          <w:szCs w:val="24"/>
          <w:lang w:val="en-US"/>
        </w:rPr>
        <w:t xml:space="preserve"> </w:t>
      </w:r>
      <w:r w:rsidRPr="00C8285F">
        <w:rPr>
          <w:rFonts w:asciiTheme="majorBidi" w:hAnsiTheme="majorBidi" w:cstheme="majorBidi"/>
          <w:sz w:val="24"/>
          <w:szCs w:val="24"/>
          <w:lang w:val="en-US"/>
        </w:rPr>
        <w:lastRenderedPageBreak/>
        <w:t>presents the objectives in a less explicit manner, putting more emphasis on accuracy of grammar and reading comprehension, with a limited reference to communicative outcomes.</w:t>
      </w:r>
    </w:p>
    <w:p w14:paraId="458AAA06" w14:textId="0CCF29CC" w:rsidR="004E3059" w:rsidRPr="004E3059" w:rsidRDefault="004E3059" w:rsidP="004E3059">
      <w:pPr>
        <w:spacing w:line="480" w:lineRule="auto"/>
        <w:rPr>
          <w:rFonts w:asciiTheme="majorBidi" w:hAnsiTheme="majorBidi" w:cstheme="majorBidi"/>
          <w:b/>
          <w:bCs/>
          <w:i/>
          <w:iCs/>
          <w:sz w:val="24"/>
          <w:szCs w:val="24"/>
          <w:lang w:val="en-US"/>
        </w:rPr>
      </w:pPr>
      <w:r w:rsidRPr="004E3059">
        <w:rPr>
          <w:rFonts w:asciiTheme="majorBidi" w:hAnsiTheme="majorBidi" w:cstheme="majorBidi"/>
          <w:b/>
          <w:bCs/>
          <w:i/>
          <w:iCs/>
          <w:sz w:val="24"/>
          <w:szCs w:val="24"/>
          <w:lang w:val="en-US"/>
        </w:rPr>
        <w:t>Subject Matter and Content Coverage</w:t>
      </w:r>
    </w:p>
    <w:p w14:paraId="1425703E" w14:textId="77777777" w:rsidR="004E44E9" w:rsidRDefault="00C8285F" w:rsidP="00151A47">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 xml:space="preserve">The diversity of topics in the </w:t>
      </w:r>
      <w:r w:rsidRPr="00C8285F">
        <w:rPr>
          <w:rFonts w:asciiTheme="majorBidi" w:hAnsiTheme="majorBidi" w:cstheme="majorBidi"/>
          <w:i/>
          <w:iCs/>
          <w:sz w:val="24"/>
          <w:szCs w:val="24"/>
          <w:lang w:val="en-US"/>
        </w:rPr>
        <w:t xml:space="preserve">English for Iraq </w:t>
      </w:r>
      <w:r w:rsidRPr="00C8285F">
        <w:rPr>
          <w:rFonts w:asciiTheme="majorBidi" w:hAnsiTheme="majorBidi" w:cstheme="majorBidi"/>
          <w:sz w:val="24"/>
          <w:szCs w:val="24"/>
          <w:lang w:val="en-US"/>
        </w:rPr>
        <w:t xml:space="preserve">and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textbooks was assessed according to their thematic diversity, meaning that each book should contain a diverse range of theoretical, cultural and ideological content which correspond to the learners’ daily lives and national identity</w:t>
      </w:r>
      <w:r w:rsidR="002D4611">
        <w:rPr>
          <w:rFonts w:asciiTheme="majorBidi" w:hAnsiTheme="majorBidi" w:cstheme="majorBidi"/>
          <w:sz w:val="24"/>
          <w:szCs w:val="24"/>
          <w:lang w:val="en-US"/>
        </w:rPr>
        <w:t>, the results of which are presented in table 4.3</w:t>
      </w:r>
      <w:r w:rsidRPr="00C8285F">
        <w:rPr>
          <w:rFonts w:asciiTheme="majorBidi" w:hAnsiTheme="majorBidi" w:cstheme="majorBidi"/>
          <w:sz w:val="24"/>
          <w:szCs w:val="24"/>
          <w:lang w:val="en-US"/>
        </w:rPr>
        <w:t>.</w:t>
      </w:r>
    </w:p>
    <w:p w14:paraId="77B9C763"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Table 4.3</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Subject Matter and Content Coverage</w:t>
      </w:r>
    </w:p>
    <w:tbl>
      <w:tblPr>
        <w:tblStyle w:val="TableGrid"/>
        <w:tblW w:w="8101" w:type="dxa"/>
        <w:tblLook w:val="04A0" w:firstRow="1" w:lastRow="0" w:firstColumn="1" w:lastColumn="0" w:noHBand="0" w:noVBand="1"/>
      </w:tblPr>
      <w:tblGrid>
        <w:gridCol w:w="2590"/>
        <w:gridCol w:w="2142"/>
        <w:gridCol w:w="2012"/>
        <w:gridCol w:w="1357"/>
      </w:tblGrid>
      <w:tr w:rsidR="004E3059" w:rsidRPr="004E3059" w14:paraId="59C00EA8" w14:textId="77777777" w:rsidTr="00151A47">
        <w:trPr>
          <w:trHeight w:val="528"/>
        </w:trPr>
        <w:tc>
          <w:tcPr>
            <w:tcW w:w="0" w:type="auto"/>
            <w:tcBorders>
              <w:left w:val="single" w:sz="4" w:space="0" w:color="FFFFFF"/>
              <w:right w:val="single" w:sz="4" w:space="0" w:color="FFFFFF"/>
            </w:tcBorders>
            <w:hideMark/>
          </w:tcPr>
          <w:p w14:paraId="2D2316E7" w14:textId="77777777" w:rsidR="004E3059" w:rsidRPr="004E3059" w:rsidRDefault="004E3059" w:rsidP="00151A47">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Textbook</w:t>
            </w:r>
          </w:p>
        </w:tc>
        <w:tc>
          <w:tcPr>
            <w:tcW w:w="0" w:type="auto"/>
            <w:tcBorders>
              <w:left w:val="single" w:sz="4" w:space="0" w:color="FFFFFF"/>
              <w:right w:val="single" w:sz="4" w:space="0" w:color="FFFFFF"/>
            </w:tcBorders>
            <w:hideMark/>
          </w:tcPr>
          <w:p w14:paraId="36327229"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right w:val="single" w:sz="4" w:space="0" w:color="FFFFFF"/>
            </w:tcBorders>
            <w:hideMark/>
          </w:tcPr>
          <w:p w14:paraId="48526B5B"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right w:val="single" w:sz="4" w:space="0" w:color="FFFFFF"/>
            </w:tcBorders>
            <w:hideMark/>
          </w:tcPr>
          <w:p w14:paraId="1CED6172"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Rating</w:t>
            </w:r>
          </w:p>
        </w:tc>
      </w:tr>
      <w:tr w:rsidR="004E3059" w:rsidRPr="004E3059" w14:paraId="74296D22" w14:textId="77777777" w:rsidTr="00151A47">
        <w:trPr>
          <w:trHeight w:val="528"/>
        </w:trPr>
        <w:tc>
          <w:tcPr>
            <w:tcW w:w="0" w:type="auto"/>
            <w:tcBorders>
              <w:left w:val="single" w:sz="4" w:space="0" w:color="FFFFFF"/>
              <w:bottom w:val="single" w:sz="4" w:space="0" w:color="FFFFFF"/>
              <w:right w:val="single" w:sz="4" w:space="0" w:color="FFFFFF"/>
            </w:tcBorders>
            <w:hideMark/>
          </w:tcPr>
          <w:p w14:paraId="37FF1E5F"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bottom w:val="single" w:sz="4" w:space="0" w:color="FFFFFF"/>
              <w:right w:val="single" w:sz="4" w:space="0" w:color="FFFFFF"/>
            </w:tcBorders>
            <w:hideMark/>
          </w:tcPr>
          <w:p w14:paraId="513CE619"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2.50</w:t>
            </w:r>
          </w:p>
        </w:tc>
        <w:tc>
          <w:tcPr>
            <w:tcW w:w="0" w:type="auto"/>
            <w:tcBorders>
              <w:left w:val="single" w:sz="4" w:space="0" w:color="FFFFFF"/>
              <w:bottom w:val="single" w:sz="4" w:space="0" w:color="FFFFFF"/>
              <w:right w:val="single" w:sz="4" w:space="0" w:color="FFFFFF"/>
            </w:tcBorders>
            <w:hideMark/>
          </w:tcPr>
          <w:p w14:paraId="285420C7"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83.3%</w:t>
            </w:r>
          </w:p>
        </w:tc>
        <w:tc>
          <w:tcPr>
            <w:tcW w:w="0" w:type="auto"/>
            <w:tcBorders>
              <w:left w:val="single" w:sz="4" w:space="0" w:color="FFFFFF"/>
              <w:bottom w:val="single" w:sz="4" w:space="0" w:color="FFFFFF"/>
              <w:right w:val="single" w:sz="4" w:space="0" w:color="FFFFFF"/>
            </w:tcBorders>
            <w:hideMark/>
          </w:tcPr>
          <w:p w14:paraId="3E7A4803"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r w:rsidR="004E3059" w:rsidRPr="004E3059" w14:paraId="4CB3D95E" w14:textId="77777777" w:rsidTr="00151A47">
        <w:trPr>
          <w:trHeight w:val="505"/>
        </w:trPr>
        <w:tc>
          <w:tcPr>
            <w:tcW w:w="0" w:type="auto"/>
            <w:tcBorders>
              <w:top w:val="single" w:sz="4" w:space="0" w:color="FFFFFF"/>
              <w:left w:val="single" w:sz="4" w:space="0" w:color="FFFFFF"/>
              <w:right w:val="single" w:sz="4" w:space="0" w:color="FFFFFF"/>
            </w:tcBorders>
            <w:hideMark/>
          </w:tcPr>
          <w:p w14:paraId="744CAD94"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left w:val="single" w:sz="4" w:space="0" w:color="FFFFFF"/>
              <w:right w:val="single" w:sz="4" w:space="0" w:color="FFFFFF"/>
            </w:tcBorders>
            <w:hideMark/>
          </w:tcPr>
          <w:p w14:paraId="3CAC0D43"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2.80</w:t>
            </w:r>
          </w:p>
        </w:tc>
        <w:tc>
          <w:tcPr>
            <w:tcW w:w="0" w:type="auto"/>
            <w:tcBorders>
              <w:top w:val="single" w:sz="4" w:space="0" w:color="FFFFFF"/>
              <w:left w:val="single" w:sz="4" w:space="0" w:color="FFFFFF"/>
              <w:right w:val="single" w:sz="4" w:space="0" w:color="FFFFFF"/>
            </w:tcBorders>
            <w:hideMark/>
          </w:tcPr>
          <w:p w14:paraId="2F859EFA"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93.3%</w:t>
            </w:r>
          </w:p>
        </w:tc>
        <w:tc>
          <w:tcPr>
            <w:tcW w:w="0" w:type="auto"/>
            <w:tcBorders>
              <w:top w:val="single" w:sz="4" w:space="0" w:color="FFFFFF"/>
              <w:left w:val="single" w:sz="4" w:space="0" w:color="FFFFFF"/>
              <w:right w:val="single" w:sz="4" w:space="0" w:color="FFFFFF"/>
            </w:tcBorders>
            <w:hideMark/>
          </w:tcPr>
          <w:p w14:paraId="3430BC4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bl>
    <w:p w14:paraId="48385E38" w14:textId="3B76C6A3" w:rsidR="00D433F0" w:rsidRDefault="00D433F0" w:rsidP="00D433F0">
      <w:pPr>
        <w:spacing w:line="480" w:lineRule="auto"/>
        <w:rPr>
          <w:rFonts w:asciiTheme="majorBidi" w:hAnsiTheme="majorBidi" w:cstheme="majorBidi"/>
          <w:sz w:val="24"/>
          <w:szCs w:val="24"/>
          <w:lang w:val="en-US"/>
        </w:rPr>
      </w:pPr>
    </w:p>
    <w:p w14:paraId="56AF2ACA" w14:textId="2EBE8EE5" w:rsidR="00C8285F" w:rsidRDefault="004E44E9" w:rsidP="009E4A66">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 xml:space="preserve">Although both textbooks contained age-appropriate themes, they differed significantly with regard to the degree of thematic depth and coherence.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provided a cohesive thematic organization of materials from the learners’ everyday lives and national identity; therefore, its Authenticity of Content was enhanced by contextualization in the dialogues and scenarios provided with the materials. On the other hand, while the </w:t>
      </w:r>
      <w:r w:rsidRPr="00C8285F">
        <w:rPr>
          <w:rFonts w:asciiTheme="majorBidi" w:hAnsiTheme="majorBidi" w:cstheme="majorBidi"/>
          <w:i/>
          <w:iCs/>
          <w:sz w:val="24"/>
          <w:szCs w:val="24"/>
          <w:lang w:val="en-US"/>
        </w:rPr>
        <w:t>English for Iraq</w:t>
      </w:r>
      <w:r w:rsidRPr="00C8285F">
        <w:rPr>
          <w:rFonts w:asciiTheme="majorBidi" w:hAnsiTheme="majorBidi" w:cstheme="majorBidi"/>
          <w:sz w:val="24"/>
          <w:szCs w:val="24"/>
          <w:lang w:val="en-US"/>
        </w:rPr>
        <w:t xml:space="preserve"> textbook provided a broader diversity of topics, the thematic exploration of these topics was mainly surface oriented and there was a lack of continuity among units.</w:t>
      </w:r>
    </w:p>
    <w:p w14:paraId="18C560A7" w14:textId="53F59D17" w:rsidR="004E3059" w:rsidRPr="004E3059" w:rsidRDefault="004E3059" w:rsidP="004E3059">
      <w:pPr>
        <w:spacing w:line="480" w:lineRule="auto"/>
        <w:rPr>
          <w:rFonts w:asciiTheme="majorBidi" w:hAnsiTheme="majorBidi" w:cstheme="majorBidi"/>
          <w:b/>
          <w:bCs/>
          <w:i/>
          <w:iCs/>
          <w:sz w:val="24"/>
          <w:szCs w:val="24"/>
          <w:lang w:val="en-US"/>
        </w:rPr>
      </w:pPr>
      <w:r w:rsidRPr="004E3059">
        <w:rPr>
          <w:rFonts w:asciiTheme="majorBidi" w:hAnsiTheme="majorBidi" w:cstheme="majorBidi"/>
          <w:b/>
          <w:bCs/>
          <w:i/>
          <w:iCs/>
          <w:sz w:val="24"/>
          <w:szCs w:val="24"/>
          <w:lang w:val="en-US"/>
        </w:rPr>
        <w:t>Language Type and Level</w:t>
      </w:r>
    </w:p>
    <w:p w14:paraId="601B027F" w14:textId="3371B6DA" w:rsidR="004E3059" w:rsidRPr="004E3059" w:rsidRDefault="004E3059" w:rsidP="008C6D8B">
      <w:pPr>
        <w:spacing w:line="480" w:lineRule="auto"/>
        <w:rPr>
          <w:rFonts w:asciiTheme="majorBidi" w:hAnsiTheme="majorBidi" w:cstheme="majorBidi"/>
          <w:sz w:val="24"/>
          <w:szCs w:val="24"/>
          <w:lang w:val="en-US"/>
        </w:rPr>
      </w:pPr>
      <w:r w:rsidRPr="004E3059">
        <w:rPr>
          <w:rFonts w:asciiTheme="majorBidi" w:hAnsiTheme="majorBidi" w:cstheme="majorBidi"/>
          <w:sz w:val="24"/>
          <w:szCs w:val="24"/>
          <w:lang w:val="en-US"/>
        </w:rPr>
        <w:t>This dimension focused on vocabulary load, grammatical complexity, discourse progression, and suitability for learner proficiency levels</w:t>
      </w:r>
      <w:r w:rsidR="008C6D8B">
        <w:rPr>
          <w:rFonts w:asciiTheme="majorBidi" w:hAnsiTheme="majorBidi" w:cstheme="majorBidi"/>
          <w:sz w:val="24"/>
          <w:szCs w:val="24"/>
          <w:lang w:val="en-US"/>
        </w:rPr>
        <w:t>.</w:t>
      </w:r>
    </w:p>
    <w:p w14:paraId="788BD924"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lastRenderedPageBreak/>
        <w:t>Table 4.4</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Language Type and Level</w:t>
      </w:r>
    </w:p>
    <w:tbl>
      <w:tblPr>
        <w:tblStyle w:val="TableGrid"/>
        <w:tblW w:w="8348" w:type="dxa"/>
        <w:tblLook w:val="04A0" w:firstRow="1" w:lastRow="0" w:firstColumn="1" w:lastColumn="0" w:noHBand="0" w:noVBand="1"/>
      </w:tblPr>
      <w:tblGrid>
        <w:gridCol w:w="2668"/>
        <w:gridCol w:w="2207"/>
        <w:gridCol w:w="2074"/>
        <w:gridCol w:w="1399"/>
      </w:tblGrid>
      <w:tr w:rsidR="00151A47" w:rsidRPr="004E3059" w14:paraId="1C34B316" w14:textId="77777777" w:rsidTr="00151A47">
        <w:trPr>
          <w:trHeight w:val="502"/>
        </w:trPr>
        <w:tc>
          <w:tcPr>
            <w:tcW w:w="0" w:type="auto"/>
            <w:tcBorders>
              <w:left w:val="single" w:sz="4" w:space="0" w:color="FFFFFF"/>
              <w:right w:val="single" w:sz="4" w:space="0" w:color="FFFFFF"/>
            </w:tcBorders>
            <w:hideMark/>
          </w:tcPr>
          <w:p w14:paraId="281644C6" w14:textId="77777777" w:rsidR="004E3059" w:rsidRPr="004E3059" w:rsidRDefault="004E3059" w:rsidP="00151A47">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Textbook</w:t>
            </w:r>
          </w:p>
        </w:tc>
        <w:tc>
          <w:tcPr>
            <w:tcW w:w="0" w:type="auto"/>
            <w:tcBorders>
              <w:left w:val="single" w:sz="4" w:space="0" w:color="FFFFFF"/>
              <w:right w:val="single" w:sz="4" w:space="0" w:color="FFFFFF"/>
            </w:tcBorders>
            <w:hideMark/>
          </w:tcPr>
          <w:p w14:paraId="79591BCB"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right w:val="single" w:sz="4" w:space="0" w:color="FFFFFF"/>
            </w:tcBorders>
            <w:hideMark/>
          </w:tcPr>
          <w:p w14:paraId="6A8C3FF7"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right w:val="single" w:sz="4" w:space="0" w:color="FFFFFF"/>
            </w:tcBorders>
            <w:hideMark/>
          </w:tcPr>
          <w:p w14:paraId="217EE570"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Rating</w:t>
            </w:r>
          </w:p>
        </w:tc>
      </w:tr>
      <w:tr w:rsidR="00151A47" w:rsidRPr="004E3059" w14:paraId="5D68A25E" w14:textId="77777777" w:rsidTr="00151A47">
        <w:trPr>
          <w:trHeight w:val="502"/>
        </w:trPr>
        <w:tc>
          <w:tcPr>
            <w:tcW w:w="0" w:type="auto"/>
            <w:tcBorders>
              <w:left w:val="single" w:sz="4" w:space="0" w:color="FFFFFF"/>
              <w:bottom w:val="single" w:sz="4" w:space="0" w:color="FFFFFF"/>
              <w:right w:val="single" w:sz="4" w:space="0" w:color="FFFFFF"/>
            </w:tcBorders>
            <w:hideMark/>
          </w:tcPr>
          <w:p w14:paraId="2CC70BB7"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bottom w:val="single" w:sz="4" w:space="0" w:color="FFFFFF"/>
              <w:right w:val="single" w:sz="4" w:space="0" w:color="FFFFFF"/>
            </w:tcBorders>
            <w:hideMark/>
          </w:tcPr>
          <w:p w14:paraId="6B193236"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2.50</w:t>
            </w:r>
          </w:p>
        </w:tc>
        <w:tc>
          <w:tcPr>
            <w:tcW w:w="0" w:type="auto"/>
            <w:tcBorders>
              <w:left w:val="single" w:sz="4" w:space="0" w:color="FFFFFF"/>
              <w:bottom w:val="single" w:sz="4" w:space="0" w:color="FFFFFF"/>
              <w:right w:val="single" w:sz="4" w:space="0" w:color="FFFFFF"/>
            </w:tcBorders>
            <w:hideMark/>
          </w:tcPr>
          <w:p w14:paraId="40A82D70"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83.3%</w:t>
            </w:r>
          </w:p>
        </w:tc>
        <w:tc>
          <w:tcPr>
            <w:tcW w:w="0" w:type="auto"/>
            <w:tcBorders>
              <w:left w:val="single" w:sz="4" w:space="0" w:color="FFFFFF"/>
              <w:bottom w:val="single" w:sz="4" w:space="0" w:color="FFFFFF"/>
              <w:right w:val="single" w:sz="4" w:space="0" w:color="FFFFFF"/>
            </w:tcBorders>
            <w:hideMark/>
          </w:tcPr>
          <w:p w14:paraId="0EE40A37"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r w:rsidR="00151A47" w:rsidRPr="004E3059" w14:paraId="597A66DA" w14:textId="77777777" w:rsidTr="00151A47">
        <w:trPr>
          <w:trHeight w:val="502"/>
        </w:trPr>
        <w:tc>
          <w:tcPr>
            <w:tcW w:w="0" w:type="auto"/>
            <w:tcBorders>
              <w:top w:val="single" w:sz="4" w:space="0" w:color="FFFFFF"/>
              <w:left w:val="single" w:sz="4" w:space="0" w:color="FFFFFF"/>
              <w:right w:val="single" w:sz="4" w:space="0" w:color="FFFFFF"/>
            </w:tcBorders>
            <w:hideMark/>
          </w:tcPr>
          <w:p w14:paraId="1229C771"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left w:val="single" w:sz="4" w:space="0" w:color="FFFFFF"/>
              <w:right w:val="single" w:sz="4" w:space="0" w:color="FFFFFF"/>
            </w:tcBorders>
            <w:hideMark/>
          </w:tcPr>
          <w:p w14:paraId="67D504FA"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2.70</w:t>
            </w:r>
          </w:p>
        </w:tc>
        <w:tc>
          <w:tcPr>
            <w:tcW w:w="0" w:type="auto"/>
            <w:tcBorders>
              <w:top w:val="single" w:sz="4" w:space="0" w:color="FFFFFF"/>
              <w:left w:val="single" w:sz="4" w:space="0" w:color="FFFFFF"/>
              <w:right w:val="single" w:sz="4" w:space="0" w:color="FFFFFF"/>
            </w:tcBorders>
            <w:hideMark/>
          </w:tcPr>
          <w:p w14:paraId="722CDD3C"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90.0%</w:t>
            </w:r>
          </w:p>
        </w:tc>
        <w:tc>
          <w:tcPr>
            <w:tcW w:w="0" w:type="auto"/>
            <w:tcBorders>
              <w:top w:val="single" w:sz="4" w:space="0" w:color="FFFFFF"/>
              <w:left w:val="single" w:sz="4" w:space="0" w:color="FFFFFF"/>
              <w:right w:val="single" w:sz="4" w:space="0" w:color="FFFFFF"/>
            </w:tcBorders>
            <w:hideMark/>
          </w:tcPr>
          <w:p w14:paraId="3E302EA6"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bl>
    <w:p w14:paraId="18BA7576" w14:textId="2C8097B9" w:rsidR="00D433F0" w:rsidRDefault="00D433F0" w:rsidP="00D433F0">
      <w:pPr>
        <w:spacing w:line="480" w:lineRule="auto"/>
        <w:rPr>
          <w:rFonts w:asciiTheme="majorBidi" w:hAnsiTheme="majorBidi" w:cstheme="majorBidi"/>
          <w:sz w:val="24"/>
          <w:szCs w:val="24"/>
          <w:lang w:val="en-US"/>
        </w:rPr>
      </w:pPr>
    </w:p>
    <w:p w14:paraId="0460BE74" w14:textId="67B5095F" w:rsidR="008C6D8B" w:rsidRPr="004E3059" w:rsidRDefault="008C6D8B" w:rsidP="008C6D8B">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 xml:space="preserve">Both </w:t>
      </w:r>
      <w:r w:rsidRPr="00C8285F">
        <w:rPr>
          <w:rFonts w:asciiTheme="majorBidi" w:hAnsiTheme="majorBidi" w:cstheme="majorBidi"/>
          <w:i/>
          <w:iCs/>
          <w:sz w:val="24"/>
          <w:szCs w:val="24"/>
          <w:lang w:val="en-US"/>
        </w:rPr>
        <w:t>English for</w:t>
      </w:r>
      <w:r w:rsidRPr="00C8285F">
        <w:rPr>
          <w:rFonts w:asciiTheme="majorBidi" w:hAnsiTheme="majorBidi" w:cstheme="majorBidi"/>
          <w:sz w:val="24"/>
          <w:szCs w:val="24"/>
          <w:lang w:val="en-US"/>
        </w:rPr>
        <w:t xml:space="preserve"> </w:t>
      </w:r>
      <w:r w:rsidRPr="00C8285F">
        <w:rPr>
          <w:rFonts w:asciiTheme="majorBidi" w:hAnsiTheme="majorBidi" w:cstheme="majorBidi"/>
          <w:i/>
          <w:iCs/>
          <w:sz w:val="24"/>
          <w:szCs w:val="24"/>
          <w:lang w:val="en-US"/>
        </w:rPr>
        <w:t>Iraq</w:t>
      </w:r>
      <w:r w:rsidRPr="00C8285F">
        <w:rPr>
          <w:rFonts w:asciiTheme="majorBidi" w:hAnsiTheme="majorBidi" w:cstheme="majorBidi"/>
          <w:sz w:val="24"/>
          <w:szCs w:val="24"/>
          <w:lang w:val="en-US"/>
        </w:rPr>
        <w:t xml:space="preserve"> and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are written to the same overall Grade 9 Proficiency expectations. However,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focuses on vocabulary control and gradual grammatical progression as compared to introducing more complex grammatical forms earlier in </w:t>
      </w:r>
      <w:r w:rsidRPr="00C8285F">
        <w:rPr>
          <w:rFonts w:asciiTheme="majorBidi" w:hAnsiTheme="majorBidi" w:cstheme="majorBidi"/>
          <w:i/>
          <w:iCs/>
          <w:sz w:val="24"/>
          <w:szCs w:val="24"/>
          <w:lang w:val="en-US"/>
        </w:rPr>
        <w:t>English for Iraq</w:t>
      </w:r>
      <w:r w:rsidRPr="00C8285F">
        <w:rPr>
          <w:rFonts w:asciiTheme="majorBidi" w:hAnsiTheme="majorBidi" w:cstheme="majorBidi"/>
          <w:sz w:val="24"/>
          <w:szCs w:val="24"/>
          <w:lang w:val="en-US"/>
        </w:rPr>
        <w:t xml:space="preserve"> which could present higher cognitive demands on those students with lower proficiency level</w:t>
      </w:r>
      <w:r w:rsidRPr="004E3059">
        <w:rPr>
          <w:rFonts w:asciiTheme="majorBidi" w:hAnsiTheme="majorBidi" w:cstheme="majorBidi"/>
          <w:sz w:val="24"/>
          <w:szCs w:val="24"/>
          <w:lang w:val="en-US"/>
        </w:rPr>
        <w:t>.</w:t>
      </w:r>
    </w:p>
    <w:p w14:paraId="1FC3DD72" w14:textId="3CE6A336" w:rsidR="004E3059" w:rsidRPr="004E3059" w:rsidRDefault="004E3059" w:rsidP="004E3059">
      <w:pPr>
        <w:spacing w:line="480" w:lineRule="auto"/>
        <w:rPr>
          <w:rFonts w:asciiTheme="majorBidi" w:hAnsiTheme="majorBidi" w:cstheme="majorBidi"/>
          <w:b/>
          <w:bCs/>
          <w:i/>
          <w:iCs/>
          <w:sz w:val="24"/>
          <w:szCs w:val="24"/>
          <w:lang w:val="en-US"/>
        </w:rPr>
      </w:pPr>
      <w:r w:rsidRPr="004E3059">
        <w:rPr>
          <w:rFonts w:asciiTheme="majorBidi" w:hAnsiTheme="majorBidi" w:cstheme="majorBidi"/>
          <w:b/>
          <w:bCs/>
          <w:i/>
          <w:iCs/>
          <w:sz w:val="24"/>
          <w:szCs w:val="24"/>
          <w:lang w:val="en-US"/>
        </w:rPr>
        <w:t>Skills Integration and Practice Activities</w:t>
      </w:r>
    </w:p>
    <w:p w14:paraId="513A2BA0" w14:textId="13A434D6" w:rsidR="004E3059" w:rsidRPr="004E3059" w:rsidRDefault="00C8285F" w:rsidP="008C6D8B">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The evaluation of this dimension included an analysis of the connections made between each skill (reading, writing, listening and speaking). Also included were the types of practice activities (communicative, thematic &amp; integrated) used in developing each skill</w:t>
      </w:r>
      <w:r w:rsidR="008C6D8B">
        <w:rPr>
          <w:rFonts w:asciiTheme="majorBidi" w:hAnsiTheme="majorBidi" w:cstheme="majorBidi"/>
          <w:sz w:val="24"/>
          <w:szCs w:val="24"/>
          <w:lang w:val="en-US"/>
        </w:rPr>
        <w:t>.</w:t>
      </w:r>
    </w:p>
    <w:p w14:paraId="3F3672A2"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Table 4.5</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Skills Integration and Practice Activities</w:t>
      </w:r>
    </w:p>
    <w:tbl>
      <w:tblPr>
        <w:tblStyle w:val="TableGrid"/>
        <w:tblW w:w="8215" w:type="dxa"/>
        <w:tblLook w:val="04A0" w:firstRow="1" w:lastRow="0" w:firstColumn="1" w:lastColumn="0" w:noHBand="0" w:noVBand="1"/>
      </w:tblPr>
      <w:tblGrid>
        <w:gridCol w:w="2626"/>
        <w:gridCol w:w="2172"/>
        <w:gridCol w:w="2041"/>
        <w:gridCol w:w="1376"/>
      </w:tblGrid>
      <w:tr w:rsidR="00151A47" w:rsidRPr="004E3059" w14:paraId="572C86E0" w14:textId="77777777" w:rsidTr="00151A47">
        <w:trPr>
          <w:trHeight w:val="484"/>
        </w:trPr>
        <w:tc>
          <w:tcPr>
            <w:tcW w:w="0" w:type="auto"/>
            <w:tcBorders>
              <w:left w:val="single" w:sz="4" w:space="0" w:color="FFFFFF"/>
              <w:right w:val="single" w:sz="4" w:space="0" w:color="FFFFFF"/>
            </w:tcBorders>
            <w:hideMark/>
          </w:tcPr>
          <w:p w14:paraId="26D8824D" w14:textId="77777777" w:rsidR="004E3059" w:rsidRPr="004E3059" w:rsidRDefault="004E3059" w:rsidP="00151A47">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Textbook</w:t>
            </w:r>
          </w:p>
        </w:tc>
        <w:tc>
          <w:tcPr>
            <w:tcW w:w="0" w:type="auto"/>
            <w:tcBorders>
              <w:left w:val="single" w:sz="4" w:space="0" w:color="FFFFFF"/>
              <w:right w:val="single" w:sz="4" w:space="0" w:color="FFFFFF"/>
            </w:tcBorders>
            <w:hideMark/>
          </w:tcPr>
          <w:p w14:paraId="5B0B8875"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right w:val="single" w:sz="4" w:space="0" w:color="FFFFFF"/>
            </w:tcBorders>
            <w:hideMark/>
          </w:tcPr>
          <w:p w14:paraId="647ECB17"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right w:val="single" w:sz="4" w:space="0" w:color="FFFFFF"/>
            </w:tcBorders>
            <w:hideMark/>
          </w:tcPr>
          <w:p w14:paraId="6F422258"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Rating</w:t>
            </w:r>
          </w:p>
        </w:tc>
      </w:tr>
      <w:tr w:rsidR="00151A47" w:rsidRPr="004E3059" w14:paraId="72058739" w14:textId="77777777" w:rsidTr="00151A47">
        <w:trPr>
          <w:trHeight w:val="484"/>
        </w:trPr>
        <w:tc>
          <w:tcPr>
            <w:tcW w:w="0" w:type="auto"/>
            <w:tcBorders>
              <w:left w:val="single" w:sz="4" w:space="0" w:color="FFFFFF"/>
              <w:bottom w:val="single" w:sz="4" w:space="0" w:color="FFFFFF"/>
              <w:right w:val="single" w:sz="4" w:space="0" w:color="FFFFFF"/>
            </w:tcBorders>
            <w:hideMark/>
          </w:tcPr>
          <w:p w14:paraId="623F116B"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bottom w:val="single" w:sz="4" w:space="0" w:color="FFFFFF"/>
              <w:right w:val="single" w:sz="4" w:space="0" w:color="FFFFFF"/>
            </w:tcBorders>
            <w:hideMark/>
          </w:tcPr>
          <w:p w14:paraId="288C321B"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left w:val="single" w:sz="4" w:space="0" w:color="FFFFFF"/>
              <w:bottom w:val="single" w:sz="4" w:space="0" w:color="FFFFFF"/>
              <w:right w:val="single" w:sz="4" w:space="0" w:color="FFFFFF"/>
            </w:tcBorders>
            <w:hideMark/>
          </w:tcPr>
          <w:p w14:paraId="256AEF6E"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c>
          <w:tcPr>
            <w:tcW w:w="0" w:type="auto"/>
            <w:tcBorders>
              <w:left w:val="single" w:sz="4" w:space="0" w:color="FFFFFF"/>
              <w:bottom w:val="single" w:sz="4" w:space="0" w:color="FFFFFF"/>
              <w:right w:val="single" w:sz="4" w:space="0" w:color="FFFFFF"/>
            </w:tcBorders>
            <w:hideMark/>
          </w:tcPr>
          <w:p w14:paraId="12701C97"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r w:rsidR="00151A47" w:rsidRPr="004E3059" w14:paraId="50D69B3C" w14:textId="77777777" w:rsidTr="00151A47">
        <w:trPr>
          <w:trHeight w:val="484"/>
        </w:trPr>
        <w:tc>
          <w:tcPr>
            <w:tcW w:w="0" w:type="auto"/>
            <w:tcBorders>
              <w:top w:val="single" w:sz="4" w:space="0" w:color="FFFFFF"/>
              <w:left w:val="single" w:sz="4" w:space="0" w:color="FFFFFF"/>
              <w:right w:val="single" w:sz="4" w:space="0" w:color="FFFFFF"/>
            </w:tcBorders>
            <w:hideMark/>
          </w:tcPr>
          <w:p w14:paraId="592182A7"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left w:val="single" w:sz="4" w:space="0" w:color="FFFFFF"/>
              <w:right w:val="single" w:sz="4" w:space="0" w:color="FFFFFF"/>
            </w:tcBorders>
            <w:hideMark/>
          </w:tcPr>
          <w:p w14:paraId="759E1EB3"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2.90</w:t>
            </w:r>
          </w:p>
        </w:tc>
        <w:tc>
          <w:tcPr>
            <w:tcW w:w="0" w:type="auto"/>
            <w:tcBorders>
              <w:top w:val="single" w:sz="4" w:space="0" w:color="FFFFFF"/>
              <w:left w:val="single" w:sz="4" w:space="0" w:color="FFFFFF"/>
              <w:right w:val="single" w:sz="4" w:space="0" w:color="FFFFFF"/>
            </w:tcBorders>
            <w:hideMark/>
          </w:tcPr>
          <w:p w14:paraId="4E0CB7A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96.7%</w:t>
            </w:r>
          </w:p>
        </w:tc>
        <w:tc>
          <w:tcPr>
            <w:tcW w:w="0" w:type="auto"/>
            <w:tcBorders>
              <w:top w:val="single" w:sz="4" w:space="0" w:color="FFFFFF"/>
              <w:left w:val="single" w:sz="4" w:space="0" w:color="FFFFFF"/>
              <w:right w:val="single" w:sz="4" w:space="0" w:color="FFFFFF"/>
            </w:tcBorders>
            <w:hideMark/>
          </w:tcPr>
          <w:p w14:paraId="58EE80F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bl>
    <w:p w14:paraId="56F7A74F" w14:textId="620E54E7" w:rsidR="00D433F0" w:rsidRDefault="00D433F0" w:rsidP="00D433F0">
      <w:pPr>
        <w:spacing w:line="480" w:lineRule="auto"/>
        <w:rPr>
          <w:rFonts w:asciiTheme="majorBidi" w:hAnsiTheme="majorBidi" w:cstheme="majorBidi"/>
          <w:sz w:val="24"/>
          <w:szCs w:val="24"/>
          <w:lang w:val="en-US"/>
        </w:rPr>
      </w:pPr>
    </w:p>
    <w:p w14:paraId="48C58011" w14:textId="48E9903B" w:rsidR="008C6D8B" w:rsidRPr="004E3059" w:rsidRDefault="008C6D8B" w:rsidP="008C6D8B">
      <w:pPr>
        <w:spacing w:line="480" w:lineRule="auto"/>
        <w:rPr>
          <w:rFonts w:asciiTheme="majorBidi" w:hAnsiTheme="majorBidi" w:cstheme="majorBidi"/>
          <w:sz w:val="24"/>
          <w:szCs w:val="24"/>
          <w:lang w:val="en-US"/>
        </w:rPr>
      </w:pP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emphasizes oral/aural skills and incorporates these skills into thematic, integrative units of learning through the use of communicative tasks (pair work, role plays, etc.). In contrast, </w:t>
      </w:r>
      <w:r w:rsidRPr="00C8285F">
        <w:rPr>
          <w:rFonts w:asciiTheme="majorBidi" w:hAnsiTheme="majorBidi" w:cstheme="majorBidi"/>
          <w:i/>
          <w:iCs/>
          <w:sz w:val="24"/>
          <w:szCs w:val="24"/>
          <w:lang w:val="en-US"/>
        </w:rPr>
        <w:t>English for Iraq</w:t>
      </w:r>
      <w:r w:rsidRPr="00C8285F">
        <w:rPr>
          <w:rFonts w:asciiTheme="majorBidi" w:hAnsiTheme="majorBidi" w:cstheme="majorBidi"/>
          <w:sz w:val="24"/>
          <w:szCs w:val="24"/>
          <w:lang w:val="en-US"/>
        </w:rPr>
        <w:t xml:space="preserve"> places more importance on grammar and reading, with limited opportunities to practice communicative speaking and listening, compared to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w:t>
      </w:r>
    </w:p>
    <w:p w14:paraId="19695DCF" w14:textId="7E7C46DF" w:rsidR="004E3059" w:rsidRPr="004E3059" w:rsidRDefault="004E3059" w:rsidP="004E3059">
      <w:pPr>
        <w:spacing w:line="480" w:lineRule="auto"/>
        <w:rPr>
          <w:rFonts w:asciiTheme="majorBidi" w:hAnsiTheme="majorBidi" w:cstheme="majorBidi"/>
          <w:b/>
          <w:bCs/>
          <w:i/>
          <w:iCs/>
          <w:sz w:val="24"/>
          <w:szCs w:val="24"/>
          <w:lang w:val="en-US"/>
        </w:rPr>
      </w:pPr>
      <w:r w:rsidRPr="004E3059">
        <w:rPr>
          <w:rFonts w:asciiTheme="majorBidi" w:hAnsiTheme="majorBidi" w:cstheme="majorBidi"/>
          <w:b/>
          <w:bCs/>
          <w:i/>
          <w:iCs/>
          <w:sz w:val="24"/>
          <w:szCs w:val="24"/>
          <w:lang w:val="en-US"/>
        </w:rPr>
        <w:lastRenderedPageBreak/>
        <w:t>Methodology and Teaching Approaches</w:t>
      </w:r>
    </w:p>
    <w:p w14:paraId="18162773" w14:textId="14AABB34" w:rsidR="004E3059" w:rsidRPr="004E3059" w:rsidRDefault="00C8285F" w:rsidP="00C8285F">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 xml:space="preserve">In terms of learner-centeredness, interaction patterns, learner autonomy, and the pedagogical approach of the textbooks examined, it was found that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displays a communicative, learner-centered method of teaching and provides for interaction via collaborative forms of learning. independence.</w:t>
      </w:r>
    </w:p>
    <w:p w14:paraId="4A1C67C2"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Table 4.6</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Methodology and Teaching Approaches</w:t>
      </w:r>
    </w:p>
    <w:tbl>
      <w:tblPr>
        <w:tblStyle w:val="TableGrid"/>
        <w:tblW w:w="8282" w:type="dxa"/>
        <w:tblLook w:val="04A0" w:firstRow="1" w:lastRow="0" w:firstColumn="1" w:lastColumn="0" w:noHBand="0" w:noVBand="1"/>
      </w:tblPr>
      <w:tblGrid>
        <w:gridCol w:w="2647"/>
        <w:gridCol w:w="2190"/>
        <w:gridCol w:w="2057"/>
        <w:gridCol w:w="1388"/>
      </w:tblGrid>
      <w:tr w:rsidR="004E3059" w:rsidRPr="004E3059" w14:paraId="0E64C8E2" w14:textId="77777777" w:rsidTr="00151A47">
        <w:trPr>
          <w:trHeight w:val="516"/>
        </w:trPr>
        <w:tc>
          <w:tcPr>
            <w:tcW w:w="0" w:type="auto"/>
            <w:tcBorders>
              <w:left w:val="single" w:sz="4" w:space="0" w:color="FFFFFF"/>
              <w:right w:val="single" w:sz="4" w:space="0" w:color="FFFFFF"/>
            </w:tcBorders>
            <w:hideMark/>
          </w:tcPr>
          <w:p w14:paraId="3EC5506C" w14:textId="77777777" w:rsidR="004E3059" w:rsidRPr="004E3059" w:rsidRDefault="004E3059" w:rsidP="00151A47">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Textbook</w:t>
            </w:r>
          </w:p>
        </w:tc>
        <w:tc>
          <w:tcPr>
            <w:tcW w:w="0" w:type="auto"/>
            <w:tcBorders>
              <w:left w:val="single" w:sz="4" w:space="0" w:color="FFFFFF"/>
              <w:right w:val="single" w:sz="4" w:space="0" w:color="FFFFFF"/>
            </w:tcBorders>
            <w:hideMark/>
          </w:tcPr>
          <w:p w14:paraId="32AB1BFF"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right w:val="single" w:sz="4" w:space="0" w:color="FFFFFF"/>
            </w:tcBorders>
            <w:hideMark/>
          </w:tcPr>
          <w:p w14:paraId="695DDA87"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right w:val="single" w:sz="4" w:space="0" w:color="FFFFFF"/>
            </w:tcBorders>
            <w:hideMark/>
          </w:tcPr>
          <w:p w14:paraId="50956587"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Rating</w:t>
            </w:r>
          </w:p>
        </w:tc>
      </w:tr>
      <w:tr w:rsidR="004E3059" w:rsidRPr="004E3059" w14:paraId="638F937D" w14:textId="77777777" w:rsidTr="00151A47">
        <w:trPr>
          <w:trHeight w:val="516"/>
        </w:trPr>
        <w:tc>
          <w:tcPr>
            <w:tcW w:w="0" w:type="auto"/>
            <w:tcBorders>
              <w:left w:val="single" w:sz="4" w:space="0" w:color="FFFFFF"/>
              <w:bottom w:val="single" w:sz="4" w:space="0" w:color="FFFFFF"/>
              <w:right w:val="single" w:sz="4" w:space="0" w:color="FFFFFF"/>
            </w:tcBorders>
            <w:hideMark/>
          </w:tcPr>
          <w:p w14:paraId="4B7B3B9A"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bottom w:val="single" w:sz="4" w:space="0" w:color="FFFFFF"/>
              <w:right w:val="single" w:sz="4" w:space="0" w:color="FFFFFF"/>
            </w:tcBorders>
            <w:hideMark/>
          </w:tcPr>
          <w:p w14:paraId="51AA50F2"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2.30</w:t>
            </w:r>
          </w:p>
        </w:tc>
        <w:tc>
          <w:tcPr>
            <w:tcW w:w="0" w:type="auto"/>
            <w:tcBorders>
              <w:left w:val="single" w:sz="4" w:space="0" w:color="FFFFFF"/>
              <w:bottom w:val="single" w:sz="4" w:space="0" w:color="FFFFFF"/>
              <w:right w:val="single" w:sz="4" w:space="0" w:color="FFFFFF"/>
            </w:tcBorders>
            <w:hideMark/>
          </w:tcPr>
          <w:p w14:paraId="0DF03121"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76.7%</w:t>
            </w:r>
          </w:p>
        </w:tc>
        <w:tc>
          <w:tcPr>
            <w:tcW w:w="0" w:type="auto"/>
            <w:tcBorders>
              <w:left w:val="single" w:sz="4" w:space="0" w:color="FFFFFF"/>
              <w:bottom w:val="single" w:sz="4" w:space="0" w:color="FFFFFF"/>
              <w:right w:val="single" w:sz="4" w:space="0" w:color="FFFFFF"/>
            </w:tcBorders>
            <w:hideMark/>
          </w:tcPr>
          <w:p w14:paraId="529970F7"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r w:rsidR="004E3059" w:rsidRPr="004E3059" w14:paraId="1806C2BA" w14:textId="77777777" w:rsidTr="00151A47">
        <w:trPr>
          <w:trHeight w:val="494"/>
        </w:trPr>
        <w:tc>
          <w:tcPr>
            <w:tcW w:w="0" w:type="auto"/>
            <w:tcBorders>
              <w:top w:val="single" w:sz="4" w:space="0" w:color="FFFFFF"/>
              <w:left w:val="single" w:sz="4" w:space="0" w:color="FFFFFF"/>
              <w:right w:val="single" w:sz="4" w:space="0" w:color="FFFFFF"/>
            </w:tcBorders>
            <w:hideMark/>
          </w:tcPr>
          <w:p w14:paraId="161A017F"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left w:val="single" w:sz="4" w:space="0" w:color="FFFFFF"/>
              <w:right w:val="single" w:sz="4" w:space="0" w:color="FFFFFF"/>
            </w:tcBorders>
            <w:hideMark/>
          </w:tcPr>
          <w:p w14:paraId="7EB82BDE"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2.80</w:t>
            </w:r>
          </w:p>
        </w:tc>
        <w:tc>
          <w:tcPr>
            <w:tcW w:w="0" w:type="auto"/>
            <w:tcBorders>
              <w:top w:val="single" w:sz="4" w:space="0" w:color="FFFFFF"/>
              <w:left w:val="single" w:sz="4" w:space="0" w:color="FFFFFF"/>
              <w:right w:val="single" w:sz="4" w:space="0" w:color="FFFFFF"/>
            </w:tcBorders>
            <w:hideMark/>
          </w:tcPr>
          <w:p w14:paraId="7A77CF7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93.3%</w:t>
            </w:r>
          </w:p>
        </w:tc>
        <w:tc>
          <w:tcPr>
            <w:tcW w:w="0" w:type="auto"/>
            <w:tcBorders>
              <w:top w:val="single" w:sz="4" w:space="0" w:color="FFFFFF"/>
              <w:left w:val="single" w:sz="4" w:space="0" w:color="FFFFFF"/>
              <w:right w:val="single" w:sz="4" w:space="0" w:color="FFFFFF"/>
            </w:tcBorders>
            <w:hideMark/>
          </w:tcPr>
          <w:p w14:paraId="615F171E"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bl>
    <w:p w14:paraId="53B296DF" w14:textId="74DC82F1" w:rsidR="004E3059" w:rsidRDefault="004E3059" w:rsidP="00D433F0">
      <w:pPr>
        <w:spacing w:line="480" w:lineRule="auto"/>
        <w:rPr>
          <w:rFonts w:asciiTheme="majorBidi" w:hAnsiTheme="majorBidi" w:cstheme="majorBidi"/>
          <w:sz w:val="24"/>
          <w:szCs w:val="24"/>
          <w:lang w:val="en-US"/>
        </w:rPr>
      </w:pPr>
    </w:p>
    <w:p w14:paraId="4A985B93" w14:textId="534E09F0" w:rsidR="008C6D8B" w:rsidRDefault="008C6D8B" w:rsidP="00D433F0">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 xml:space="preserve">The activities included in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are designed to develop meaningful language use. On the other hand, it was found that </w:t>
      </w:r>
      <w:r w:rsidRPr="00C8285F">
        <w:rPr>
          <w:rFonts w:asciiTheme="majorBidi" w:hAnsiTheme="majorBidi" w:cstheme="majorBidi"/>
          <w:i/>
          <w:iCs/>
          <w:sz w:val="24"/>
          <w:szCs w:val="24"/>
          <w:lang w:val="en-US"/>
        </w:rPr>
        <w:t>English for Iraq</w:t>
      </w:r>
      <w:r w:rsidRPr="00C8285F">
        <w:rPr>
          <w:rFonts w:asciiTheme="majorBidi" w:hAnsiTheme="majorBidi" w:cstheme="majorBidi"/>
          <w:sz w:val="24"/>
          <w:szCs w:val="24"/>
          <w:lang w:val="en-US"/>
        </w:rPr>
        <w:t xml:space="preserve"> demonstrates a more teacher-centered orientation with predominantly closed exercises and limited opportunity for learners'</w:t>
      </w:r>
    </w:p>
    <w:p w14:paraId="33756E3A" w14:textId="269AD291" w:rsidR="004E3059" w:rsidRPr="004E3059" w:rsidRDefault="004E3059" w:rsidP="004E3059">
      <w:pPr>
        <w:spacing w:line="480" w:lineRule="auto"/>
        <w:rPr>
          <w:rFonts w:asciiTheme="majorBidi" w:hAnsiTheme="majorBidi" w:cstheme="majorBidi"/>
          <w:b/>
          <w:bCs/>
          <w:i/>
          <w:iCs/>
          <w:sz w:val="24"/>
          <w:szCs w:val="24"/>
          <w:lang w:val="en-US"/>
        </w:rPr>
      </w:pPr>
      <w:r w:rsidRPr="004E3059">
        <w:rPr>
          <w:rFonts w:asciiTheme="majorBidi" w:hAnsiTheme="majorBidi" w:cstheme="majorBidi"/>
          <w:b/>
          <w:bCs/>
          <w:i/>
          <w:iCs/>
          <w:sz w:val="24"/>
          <w:szCs w:val="24"/>
          <w:lang w:val="en-US"/>
        </w:rPr>
        <w:t>Supporting Materials and Supplementary Resources</w:t>
      </w:r>
    </w:p>
    <w:p w14:paraId="4C19C828" w14:textId="6CA5F1A5" w:rsidR="004E3059" w:rsidRPr="004E3059" w:rsidRDefault="00C8285F" w:rsidP="008C6D8B">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t xml:space="preserve">The availability and quality of teacher guides, audio materials, and other supplemental instructional resources were evaluated for this dimension. </w:t>
      </w:r>
    </w:p>
    <w:p w14:paraId="2BDCF165"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Table 4.7</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Supporting Materials and Supplementary Resources</w:t>
      </w:r>
    </w:p>
    <w:tbl>
      <w:tblPr>
        <w:tblStyle w:val="TableGrid"/>
        <w:tblW w:w="8195" w:type="dxa"/>
        <w:tblLook w:val="04A0" w:firstRow="1" w:lastRow="0" w:firstColumn="1" w:lastColumn="0" w:noHBand="0" w:noVBand="1"/>
      </w:tblPr>
      <w:tblGrid>
        <w:gridCol w:w="2418"/>
        <w:gridCol w:w="2000"/>
        <w:gridCol w:w="1879"/>
        <w:gridCol w:w="1898"/>
      </w:tblGrid>
      <w:tr w:rsidR="004E3059" w:rsidRPr="004E3059" w14:paraId="75F9633A" w14:textId="77777777" w:rsidTr="00151A47">
        <w:trPr>
          <w:trHeight w:val="598"/>
        </w:trPr>
        <w:tc>
          <w:tcPr>
            <w:tcW w:w="0" w:type="auto"/>
            <w:tcBorders>
              <w:left w:val="single" w:sz="4" w:space="0" w:color="FFFFFF"/>
              <w:right w:val="single" w:sz="4" w:space="0" w:color="FFFFFF"/>
            </w:tcBorders>
            <w:hideMark/>
          </w:tcPr>
          <w:p w14:paraId="56257E84" w14:textId="77777777" w:rsidR="004E3059" w:rsidRPr="004E3059" w:rsidRDefault="004E3059" w:rsidP="00151A47">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Textbook</w:t>
            </w:r>
          </w:p>
        </w:tc>
        <w:tc>
          <w:tcPr>
            <w:tcW w:w="0" w:type="auto"/>
            <w:tcBorders>
              <w:left w:val="single" w:sz="4" w:space="0" w:color="FFFFFF"/>
              <w:right w:val="single" w:sz="4" w:space="0" w:color="FFFFFF"/>
            </w:tcBorders>
            <w:hideMark/>
          </w:tcPr>
          <w:p w14:paraId="77736B16"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right w:val="single" w:sz="4" w:space="0" w:color="FFFFFF"/>
            </w:tcBorders>
            <w:hideMark/>
          </w:tcPr>
          <w:p w14:paraId="21E022BB"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right w:val="single" w:sz="4" w:space="0" w:color="FFFFFF"/>
            </w:tcBorders>
            <w:hideMark/>
          </w:tcPr>
          <w:p w14:paraId="2EA11D9A"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Rating</w:t>
            </w:r>
          </w:p>
        </w:tc>
      </w:tr>
      <w:tr w:rsidR="004E3059" w:rsidRPr="004E3059" w14:paraId="2F790C9A" w14:textId="77777777" w:rsidTr="00151A47">
        <w:trPr>
          <w:trHeight w:val="598"/>
        </w:trPr>
        <w:tc>
          <w:tcPr>
            <w:tcW w:w="0" w:type="auto"/>
            <w:tcBorders>
              <w:left w:val="single" w:sz="4" w:space="0" w:color="FFFFFF"/>
              <w:bottom w:val="single" w:sz="4" w:space="0" w:color="FFFFFF"/>
              <w:right w:val="single" w:sz="4" w:space="0" w:color="FFFFFF"/>
            </w:tcBorders>
            <w:hideMark/>
          </w:tcPr>
          <w:p w14:paraId="7B609071"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bottom w:val="single" w:sz="4" w:space="0" w:color="FFFFFF"/>
              <w:right w:val="single" w:sz="4" w:space="0" w:color="FFFFFF"/>
            </w:tcBorders>
            <w:hideMark/>
          </w:tcPr>
          <w:p w14:paraId="4292404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2.10</w:t>
            </w:r>
          </w:p>
        </w:tc>
        <w:tc>
          <w:tcPr>
            <w:tcW w:w="0" w:type="auto"/>
            <w:tcBorders>
              <w:left w:val="single" w:sz="4" w:space="0" w:color="FFFFFF"/>
              <w:bottom w:val="single" w:sz="4" w:space="0" w:color="FFFFFF"/>
              <w:right w:val="single" w:sz="4" w:space="0" w:color="FFFFFF"/>
            </w:tcBorders>
            <w:hideMark/>
          </w:tcPr>
          <w:p w14:paraId="7FB9B08C"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70.0%</w:t>
            </w:r>
          </w:p>
        </w:tc>
        <w:tc>
          <w:tcPr>
            <w:tcW w:w="0" w:type="auto"/>
            <w:tcBorders>
              <w:left w:val="single" w:sz="4" w:space="0" w:color="FFFFFF"/>
              <w:bottom w:val="single" w:sz="4" w:space="0" w:color="FFFFFF"/>
              <w:right w:val="single" w:sz="4" w:space="0" w:color="FFFFFF"/>
            </w:tcBorders>
            <w:hideMark/>
          </w:tcPr>
          <w:p w14:paraId="11B6DE41"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Satisfactory</w:t>
            </w:r>
          </w:p>
        </w:tc>
      </w:tr>
      <w:tr w:rsidR="004E3059" w:rsidRPr="004E3059" w14:paraId="2E20A266" w14:textId="77777777" w:rsidTr="00151A47">
        <w:trPr>
          <w:trHeight w:val="572"/>
        </w:trPr>
        <w:tc>
          <w:tcPr>
            <w:tcW w:w="0" w:type="auto"/>
            <w:tcBorders>
              <w:top w:val="single" w:sz="4" w:space="0" w:color="FFFFFF"/>
              <w:left w:val="single" w:sz="4" w:space="0" w:color="FFFFFF"/>
              <w:right w:val="single" w:sz="4" w:space="0" w:color="FFFFFF"/>
            </w:tcBorders>
            <w:hideMark/>
          </w:tcPr>
          <w:p w14:paraId="51E53122"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left w:val="single" w:sz="4" w:space="0" w:color="FFFFFF"/>
              <w:right w:val="single" w:sz="4" w:space="0" w:color="FFFFFF"/>
            </w:tcBorders>
            <w:hideMark/>
          </w:tcPr>
          <w:p w14:paraId="609AC03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top w:val="single" w:sz="4" w:space="0" w:color="FFFFFF"/>
              <w:left w:val="single" w:sz="4" w:space="0" w:color="FFFFFF"/>
              <w:right w:val="single" w:sz="4" w:space="0" w:color="FFFFFF"/>
            </w:tcBorders>
            <w:hideMark/>
          </w:tcPr>
          <w:p w14:paraId="2BCDCAAA"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c>
          <w:tcPr>
            <w:tcW w:w="0" w:type="auto"/>
            <w:tcBorders>
              <w:top w:val="single" w:sz="4" w:space="0" w:color="FFFFFF"/>
              <w:left w:val="single" w:sz="4" w:space="0" w:color="FFFFFF"/>
              <w:right w:val="single" w:sz="4" w:space="0" w:color="FFFFFF"/>
            </w:tcBorders>
            <w:hideMark/>
          </w:tcPr>
          <w:p w14:paraId="10E4A1D2"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bl>
    <w:p w14:paraId="19C1AB0F" w14:textId="353437C9" w:rsidR="004E3059" w:rsidRDefault="004E3059" w:rsidP="00D433F0">
      <w:pPr>
        <w:spacing w:line="480" w:lineRule="auto"/>
        <w:rPr>
          <w:rFonts w:asciiTheme="majorBidi" w:hAnsiTheme="majorBidi" w:cstheme="majorBidi"/>
          <w:sz w:val="24"/>
          <w:szCs w:val="24"/>
          <w:lang w:val="en-US"/>
        </w:rPr>
      </w:pPr>
    </w:p>
    <w:p w14:paraId="33A4AE15" w14:textId="3AF9F579" w:rsidR="008C6D8B" w:rsidRPr="004E3059" w:rsidRDefault="008C6D8B" w:rsidP="008C6D8B">
      <w:pPr>
        <w:spacing w:line="480" w:lineRule="auto"/>
        <w:rPr>
          <w:rFonts w:asciiTheme="majorBidi" w:hAnsiTheme="majorBidi" w:cstheme="majorBidi"/>
          <w:sz w:val="24"/>
          <w:szCs w:val="24"/>
          <w:lang w:val="en-US"/>
        </w:rPr>
      </w:pPr>
      <w:r w:rsidRPr="00C8285F">
        <w:rPr>
          <w:rFonts w:asciiTheme="majorBidi" w:hAnsiTheme="majorBidi" w:cstheme="majorBidi"/>
          <w:sz w:val="24"/>
          <w:szCs w:val="24"/>
          <w:lang w:val="en-US"/>
        </w:rPr>
        <w:lastRenderedPageBreak/>
        <w:t xml:space="preserve">Compared to the other dimensions, both textbooks scored poorly in this dimension, with </w:t>
      </w:r>
      <w:r w:rsidRPr="00C8285F">
        <w:rPr>
          <w:rFonts w:asciiTheme="majorBidi" w:hAnsiTheme="majorBidi" w:cstheme="majorBidi"/>
          <w:i/>
          <w:iCs/>
          <w:sz w:val="24"/>
          <w:szCs w:val="24"/>
          <w:lang w:val="en-US"/>
        </w:rPr>
        <w:t>Prospect 3</w:t>
      </w:r>
      <w:r w:rsidRPr="00C8285F">
        <w:rPr>
          <w:rFonts w:asciiTheme="majorBidi" w:hAnsiTheme="majorBidi" w:cstheme="majorBidi"/>
          <w:sz w:val="24"/>
          <w:szCs w:val="24"/>
          <w:lang w:val="en-US"/>
        </w:rPr>
        <w:t xml:space="preserve"> having more organized teacher guidance and supporting lessons more clearly than </w:t>
      </w:r>
      <w:r w:rsidRPr="00C8285F">
        <w:rPr>
          <w:rFonts w:asciiTheme="majorBidi" w:hAnsiTheme="majorBidi" w:cstheme="majorBidi"/>
          <w:i/>
          <w:iCs/>
          <w:sz w:val="24"/>
          <w:szCs w:val="24"/>
          <w:lang w:val="en-US"/>
        </w:rPr>
        <w:t>English for Iraq</w:t>
      </w:r>
      <w:r w:rsidRPr="00C8285F">
        <w:rPr>
          <w:rFonts w:asciiTheme="majorBidi" w:hAnsiTheme="majorBidi" w:cstheme="majorBidi"/>
          <w:sz w:val="24"/>
          <w:szCs w:val="24"/>
          <w:lang w:val="en-US"/>
        </w:rPr>
        <w:t>, which has less and inconsistent supplemental materials. Only a few multimedia and digital resources are available in both series.</w:t>
      </w:r>
    </w:p>
    <w:p w14:paraId="4C6C5051" w14:textId="5455FDB3" w:rsidR="004E3059" w:rsidRPr="004E3059" w:rsidRDefault="004E3059" w:rsidP="004E3059">
      <w:pPr>
        <w:spacing w:line="480" w:lineRule="auto"/>
        <w:rPr>
          <w:rFonts w:asciiTheme="majorBidi" w:hAnsiTheme="majorBidi" w:cstheme="majorBidi"/>
          <w:b/>
          <w:bCs/>
          <w:i/>
          <w:iCs/>
          <w:sz w:val="24"/>
          <w:szCs w:val="24"/>
          <w:lang w:val="en-US"/>
        </w:rPr>
      </w:pPr>
      <w:r w:rsidRPr="004E3059">
        <w:rPr>
          <w:rFonts w:asciiTheme="majorBidi" w:hAnsiTheme="majorBidi" w:cstheme="majorBidi"/>
          <w:b/>
          <w:bCs/>
          <w:i/>
          <w:iCs/>
          <w:sz w:val="24"/>
          <w:szCs w:val="24"/>
          <w:lang w:val="en-US"/>
        </w:rPr>
        <w:t>Cultural Representation and Intercultural Communicative Competence (ICC)</w:t>
      </w:r>
    </w:p>
    <w:p w14:paraId="4FE805FB" w14:textId="5685192D" w:rsidR="004E3059" w:rsidRPr="004E3059" w:rsidRDefault="00654B8B" w:rsidP="008C6D8B">
      <w:pPr>
        <w:spacing w:line="480" w:lineRule="auto"/>
        <w:rPr>
          <w:rFonts w:asciiTheme="majorBidi" w:hAnsiTheme="majorBidi" w:cstheme="majorBidi"/>
          <w:sz w:val="24"/>
          <w:szCs w:val="24"/>
          <w:lang w:val="en-US"/>
        </w:rPr>
      </w:pPr>
      <w:r w:rsidRPr="00654B8B">
        <w:rPr>
          <w:rFonts w:asciiTheme="majorBidi" w:hAnsiTheme="majorBidi" w:cstheme="majorBidi"/>
          <w:sz w:val="24"/>
          <w:szCs w:val="24"/>
          <w:lang w:val="en-US"/>
        </w:rPr>
        <w:t xml:space="preserve">This last dimension investigated the extent to which different cultures were represented, how well source and international cultures were balanced, and whether international community components were present. </w:t>
      </w:r>
    </w:p>
    <w:p w14:paraId="5DC81834"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Table 4.8</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Cultural Representation and Intercultural Communicative Competence</w:t>
      </w:r>
    </w:p>
    <w:tbl>
      <w:tblPr>
        <w:tblStyle w:val="TableGrid"/>
        <w:tblW w:w="8390" w:type="dxa"/>
        <w:tblLook w:val="04A0" w:firstRow="1" w:lastRow="0" w:firstColumn="1" w:lastColumn="0" w:noHBand="0" w:noVBand="1"/>
      </w:tblPr>
      <w:tblGrid>
        <w:gridCol w:w="2682"/>
        <w:gridCol w:w="2218"/>
        <w:gridCol w:w="2084"/>
        <w:gridCol w:w="1406"/>
      </w:tblGrid>
      <w:tr w:rsidR="004E3059" w:rsidRPr="004E3059" w14:paraId="45EAE75F" w14:textId="77777777" w:rsidTr="00151A47">
        <w:trPr>
          <w:trHeight w:val="586"/>
        </w:trPr>
        <w:tc>
          <w:tcPr>
            <w:tcW w:w="0" w:type="auto"/>
            <w:tcBorders>
              <w:left w:val="single" w:sz="4" w:space="0" w:color="FFFFFF"/>
              <w:right w:val="single" w:sz="4" w:space="0" w:color="FFFFFF"/>
            </w:tcBorders>
            <w:hideMark/>
          </w:tcPr>
          <w:p w14:paraId="60556472" w14:textId="77777777" w:rsidR="004E3059" w:rsidRPr="004E3059" w:rsidRDefault="004E3059" w:rsidP="00151A47">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Textbook</w:t>
            </w:r>
          </w:p>
        </w:tc>
        <w:tc>
          <w:tcPr>
            <w:tcW w:w="0" w:type="auto"/>
            <w:tcBorders>
              <w:left w:val="single" w:sz="4" w:space="0" w:color="FFFFFF"/>
              <w:right w:val="single" w:sz="4" w:space="0" w:color="FFFFFF"/>
            </w:tcBorders>
            <w:hideMark/>
          </w:tcPr>
          <w:p w14:paraId="46FB5649"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Mean Score</w:t>
            </w:r>
          </w:p>
        </w:tc>
        <w:tc>
          <w:tcPr>
            <w:tcW w:w="0" w:type="auto"/>
            <w:tcBorders>
              <w:left w:val="single" w:sz="4" w:space="0" w:color="FFFFFF"/>
              <w:right w:val="single" w:sz="4" w:space="0" w:color="FFFFFF"/>
            </w:tcBorders>
            <w:hideMark/>
          </w:tcPr>
          <w:p w14:paraId="332A0570"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Percentage</w:t>
            </w:r>
          </w:p>
        </w:tc>
        <w:tc>
          <w:tcPr>
            <w:tcW w:w="0" w:type="auto"/>
            <w:tcBorders>
              <w:left w:val="single" w:sz="4" w:space="0" w:color="FFFFFF"/>
              <w:right w:val="single" w:sz="4" w:space="0" w:color="FFFFFF"/>
            </w:tcBorders>
            <w:hideMark/>
          </w:tcPr>
          <w:p w14:paraId="6E1F6823"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Rating</w:t>
            </w:r>
          </w:p>
        </w:tc>
      </w:tr>
      <w:tr w:rsidR="004E3059" w:rsidRPr="004E3059" w14:paraId="0CD597B1" w14:textId="77777777" w:rsidTr="00151A47">
        <w:trPr>
          <w:trHeight w:val="586"/>
        </w:trPr>
        <w:tc>
          <w:tcPr>
            <w:tcW w:w="0" w:type="auto"/>
            <w:tcBorders>
              <w:left w:val="single" w:sz="4" w:space="0" w:color="FFFFFF"/>
              <w:bottom w:val="single" w:sz="4" w:space="0" w:color="FFFFFF"/>
              <w:right w:val="single" w:sz="4" w:space="0" w:color="FFFFFF"/>
            </w:tcBorders>
            <w:hideMark/>
          </w:tcPr>
          <w:p w14:paraId="5FBB0DA3"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English for Iraq</w:t>
            </w:r>
          </w:p>
        </w:tc>
        <w:tc>
          <w:tcPr>
            <w:tcW w:w="0" w:type="auto"/>
            <w:tcBorders>
              <w:left w:val="single" w:sz="4" w:space="0" w:color="FFFFFF"/>
              <w:bottom w:val="single" w:sz="4" w:space="0" w:color="FFFFFF"/>
              <w:right w:val="single" w:sz="4" w:space="0" w:color="FFFFFF"/>
            </w:tcBorders>
            <w:hideMark/>
          </w:tcPr>
          <w:p w14:paraId="26071629"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left w:val="single" w:sz="4" w:space="0" w:color="FFFFFF"/>
              <w:bottom w:val="single" w:sz="4" w:space="0" w:color="FFFFFF"/>
              <w:right w:val="single" w:sz="4" w:space="0" w:color="FFFFFF"/>
            </w:tcBorders>
            <w:hideMark/>
          </w:tcPr>
          <w:p w14:paraId="78E9E49A"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c>
          <w:tcPr>
            <w:tcW w:w="0" w:type="auto"/>
            <w:tcBorders>
              <w:left w:val="single" w:sz="4" w:space="0" w:color="FFFFFF"/>
              <w:bottom w:val="single" w:sz="4" w:space="0" w:color="FFFFFF"/>
              <w:right w:val="single" w:sz="4" w:space="0" w:color="FFFFFF"/>
            </w:tcBorders>
            <w:hideMark/>
          </w:tcPr>
          <w:p w14:paraId="3FF3F39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r w:rsidR="004E3059" w:rsidRPr="004E3059" w14:paraId="78AED57A" w14:textId="77777777" w:rsidTr="00151A47">
        <w:trPr>
          <w:trHeight w:val="561"/>
        </w:trPr>
        <w:tc>
          <w:tcPr>
            <w:tcW w:w="0" w:type="auto"/>
            <w:tcBorders>
              <w:top w:val="single" w:sz="4" w:space="0" w:color="FFFFFF"/>
              <w:left w:val="single" w:sz="4" w:space="0" w:color="FFFFFF"/>
              <w:right w:val="single" w:sz="4" w:space="0" w:color="FFFFFF"/>
            </w:tcBorders>
            <w:hideMark/>
          </w:tcPr>
          <w:p w14:paraId="792929FA"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Prospect 3</w:t>
            </w:r>
          </w:p>
        </w:tc>
        <w:tc>
          <w:tcPr>
            <w:tcW w:w="0" w:type="auto"/>
            <w:tcBorders>
              <w:top w:val="single" w:sz="4" w:space="0" w:color="FFFFFF"/>
              <w:left w:val="single" w:sz="4" w:space="0" w:color="FFFFFF"/>
              <w:right w:val="single" w:sz="4" w:space="0" w:color="FFFFFF"/>
            </w:tcBorders>
            <w:hideMark/>
          </w:tcPr>
          <w:p w14:paraId="3B3C635E"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2.90</w:t>
            </w:r>
          </w:p>
        </w:tc>
        <w:tc>
          <w:tcPr>
            <w:tcW w:w="0" w:type="auto"/>
            <w:tcBorders>
              <w:top w:val="single" w:sz="4" w:space="0" w:color="FFFFFF"/>
              <w:left w:val="single" w:sz="4" w:space="0" w:color="FFFFFF"/>
              <w:right w:val="single" w:sz="4" w:space="0" w:color="FFFFFF"/>
            </w:tcBorders>
            <w:hideMark/>
          </w:tcPr>
          <w:p w14:paraId="16BCD741"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96.7%</w:t>
            </w:r>
          </w:p>
        </w:tc>
        <w:tc>
          <w:tcPr>
            <w:tcW w:w="0" w:type="auto"/>
            <w:tcBorders>
              <w:top w:val="single" w:sz="4" w:space="0" w:color="FFFFFF"/>
              <w:left w:val="single" w:sz="4" w:space="0" w:color="FFFFFF"/>
              <w:right w:val="single" w:sz="4" w:space="0" w:color="FFFFFF"/>
            </w:tcBorders>
            <w:hideMark/>
          </w:tcPr>
          <w:p w14:paraId="659AA4B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Good</w:t>
            </w:r>
          </w:p>
        </w:tc>
      </w:tr>
    </w:tbl>
    <w:p w14:paraId="1057D2AE" w14:textId="4B23B102" w:rsidR="00D433F0" w:rsidRDefault="00D433F0" w:rsidP="00D433F0">
      <w:pPr>
        <w:spacing w:line="480" w:lineRule="auto"/>
        <w:rPr>
          <w:rFonts w:asciiTheme="majorBidi" w:hAnsiTheme="majorBidi" w:cstheme="majorBidi"/>
          <w:sz w:val="24"/>
          <w:szCs w:val="24"/>
          <w:lang w:val="en-US"/>
        </w:rPr>
      </w:pPr>
    </w:p>
    <w:p w14:paraId="4A8B0FFC" w14:textId="53A17B39" w:rsidR="008C6D8B" w:rsidRPr="004E3059" w:rsidRDefault="008C6D8B" w:rsidP="008C6D8B">
      <w:pPr>
        <w:spacing w:line="480" w:lineRule="auto"/>
        <w:rPr>
          <w:rFonts w:asciiTheme="majorBidi" w:hAnsiTheme="majorBidi" w:cstheme="majorBidi"/>
          <w:sz w:val="24"/>
          <w:szCs w:val="24"/>
          <w:lang w:val="en-US"/>
        </w:rPr>
      </w:pPr>
      <w:r w:rsidRPr="00654B8B">
        <w:rPr>
          <w:rFonts w:asciiTheme="majorBidi" w:hAnsiTheme="majorBidi" w:cstheme="majorBidi"/>
          <w:i/>
          <w:iCs/>
          <w:sz w:val="24"/>
          <w:szCs w:val="24"/>
          <w:lang w:val="en-US"/>
        </w:rPr>
        <w:t>Prospect 3</w:t>
      </w:r>
      <w:r w:rsidRPr="00654B8B">
        <w:rPr>
          <w:rFonts w:asciiTheme="majorBidi" w:hAnsiTheme="majorBidi" w:cstheme="majorBidi"/>
          <w:sz w:val="24"/>
          <w:szCs w:val="24"/>
          <w:lang w:val="en-US"/>
        </w:rPr>
        <w:t xml:space="preserve"> consistently incorporates Iranian cultural and religious values throughout its themes and visuals, demonstrating a robust ideological coherence with national identity. </w:t>
      </w:r>
      <w:r w:rsidRPr="00654B8B">
        <w:rPr>
          <w:rFonts w:asciiTheme="majorBidi" w:hAnsiTheme="majorBidi" w:cstheme="majorBidi"/>
          <w:i/>
          <w:iCs/>
          <w:sz w:val="24"/>
          <w:szCs w:val="24"/>
          <w:lang w:val="en-US"/>
        </w:rPr>
        <w:t>English for Iraq</w:t>
      </w:r>
      <w:r w:rsidRPr="00654B8B">
        <w:rPr>
          <w:rFonts w:asciiTheme="majorBidi" w:hAnsiTheme="majorBidi" w:cstheme="majorBidi"/>
          <w:sz w:val="24"/>
          <w:szCs w:val="24"/>
          <w:lang w:val="en-US"/>
        </w:rPr>
        <w:t xml:space="preserve"> mostly shows cultural content through surface-level local references, and it lacks students many chances to compare cultures or engage with them critically.</w:t>
      </w:r>
    </w:p>
    <w:p w14:paraId="65CAF72D" w14:textId="3E1839D0" w:rsidR="004E3059" w:rsidRPr="004E3059" w:rsidRDefault="004E3059" w:rsidP="004E3059">
      <w:pPr>
        <w:spacing w:line="480" w:lineRule="auto"/>
        <w:rPr>
          <w:rFonts w:asciiTheme="majorBidi" w:hAnsiTheme="majorBidi" w:cstheme="majorBidi"/>
          <w:b/>
          <w:bCs/>
          <w:sz w:val="24"/>
          <w:szCs w:val="24"/>
          <w:lang w:val="en-US"/>
        </w:rPr>
      </w:pPr>
      <w:r w:rsidRPr="004E3059">
        <w:rPr>
          <w:rFonts w:asciiTheme="majorBidi" w:hAnsiTheme="majorBidi" w:cstheme="majorBidi"/>
          <w:b/>
          <w:bCs/>
          <w:sz w:val="24"/>
          <w:szCs w:val="24"/>
          <w:lang w:val="en-US"/>
        </w:rPr>
        <w:t>4.</w:t>
      </w:r>
      <w:r w:rsidR="00151A47">
        <w:rPr>
          <w:rFonts w:asciiTheme="majorBidi" w:hAnsiTheme="majorBidi" w:cstheme="majorBidi"/>
          <w:b/>
          <w:bCs/>
          <w:sz w:val="24"/>
          <w:szCs w:val="24"/>
          <w:lang w:val="en-US"/>
        </w:rPr>
        <w:t>2.</w:t>
      </w:r>
      <w:r w:rsidRPr="004E3059">
        <w:rPr>
          <w:rFonts w:asciiTheme="majorBidi" w:hAnsiTheme="majorBidi" w:cstheme="majorBidi"/>
          <w:b/>
          <w:bCs/>
          <w:sz w:val="24"/>
          <w:szCs w:val="24"/>
          <w:lang w:val="en-US"/>
        </w:rPr>
        <w:t>4 Comparative Summary of Results</w:t>
      </w:r>
    </w:p>
    <w:p w14:paraId="3679604D" w14:textId="77777777" w:rsidR="004E3059" w:rsidRPr="004E3059" w:rsidRDefault="004E3059" w:rsidP="004E3059">
      <w:pPr>
        <w:spacing w:line="480" w:lineRule="auto"/>
        <w:rPr>
          <w:rFonts w:asciiTheme="majorBidi" w:hAnsiTheme="majorBidi" w:cstheme="majorBidi"/>
          <w:sz w:val="24"/>
          <w:szCs w:val="24"/>
          <w:lang w:val="en-US"/>
        </w:rPr>
      </w:pPr>
      <w:r w:rsidRPr="004E3059">
        <w:rPr>
          <w:rFonts w:asciiTheme="majorBidi" w:hAnsiTheme="majorBidi" w:cstheme="majorBidi"/>
          <w:sz w:val="24"/>
          <w:szCs w:val="24"/>
          <w:lang w:val="en-US"/>
        </w:rPr>
        <w:t xml:space="preserve">This section provides an overall quantitative comparison of </w:t>
      </w:r>
      <w:r w:rsidRPr="004E3059">
        <w:rPr>
          <w:rFonts w:asciiTheme="majorBidi" w:hAnsiTheme="majorBidi" w:cstheme="majorBidi"/>
          <w:i/>
          <w:iCs/>
          <w:sz w:val="24"/>
          <w:szCs w:val="24"/>
          <w:lang w:val="en-US"/>
        </w:rPr>
        <w:t>English for Iraq</w:t>
      </w:r>
      <w:r w:rsidRPr="004E3059">
        <w:rPr>
          <w:rFonts w:asciiTheme="majorBidi" w:hAnsiTheme="majorBidi" w:cstheme="majorBidi"/>
          <w:sz w:val="24"/>
          <w:szCs w:val="24"/>
          <w:lang w:val="en-US"/>
        </w:rPr>
        <w:t xml:space="preserve"> (Grade 9) and </w:t>
      </w:r>
      <w:r w:rsidRPr="004E3059">
        <w:rPr>
          <w:rFonts w:asciiTheme="majorBidi" w:hAnsiTheme="majorBidi" w:cstheme="majorBidi"/>
          <w:i/>
          <w:iCs/>
          <w:sz w:val="24"/>
          <w:szCs w:val="24"/>
          <w:lang w:val="en-US"/>
        </w:rPr>
        <w:t>Prospect 3</w:t>
      </w:r>
      <w:r w:rsidRPr="004E3059">
        <w:rPr>
          <w:rFonts w:asciiTheme="majorBidi" w:hAnsiTheme="majorBidi" w:cstheme="majorBidi"/>
          <w:sz w:val="24"/>
          <w:szCs w:val="24"/>
          <w:lang w:val="en-US"/>
        </w:rPr>
        <w:t xml:space="preserve"> by consolidating the results obtained across all checklist dimensions. The purpose of this summary is to present a holistic view of the relative strengths and weaknesses of each textbook series, based on the aggregated mean scores and corresponding percentage values derived from AbdelWahab’s (2013) evaluation framework. By synthesizing the findings </w:t>
      </w:r>
      <w:r w:rsidRPr="004E3059">
        <w:rPr>
          <w:rFonts w:asciiTheme="majorBidi" w:hAnsiTheme="majorBidi" w:cstheme="majorBidi"/>
          <w:sz w:val="24"/>
          <w:szCs w:val="24"/>
          <w:lang w:val="en-US"/>
        </w:rPr>
        <w:lastRenderedPageBreak/>
        <w:t>reported in Section 4.3, this section enables a clear and systematic comparison of the two textbooks at both the domain-specific and overall levels.</w:t>
      </w:r>
    </w:p>
    <w:p w14:paraId="6970337A" w14:textId="7146B7EB" w:rsidR="004E3059" w:rsidRPr="004E3059" w:rsidRDefault="00151A47" w:rsidP="00654B8B">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b/>
      </w:r>
      <w:r w:rsidR="00654B8B" w:rsidRPr="00654B8B">
        <w:rPr>
          <w:rFonts w:asciiTheme="majorBidi" w:hAnsiTheme="majorBidi" w:cstheme="majorBidi"/>
          <w:sz w:val="24"/>
          <w:szCs w:val="24"/>
        </w:rPr>
        <w:t xml:space="preserve">Table 4.9 lists the compiled mean score and percentage of each of the check list dimensions. The table demonstrates that in all categories used to evaluate both series, </w:t>
      </w:r>
      <w:r w:rsidR="00654B8B" w:rsidRPr="00654B8B">
        <w:rPr>
          <w:rFonts w:asciiTheme="majorBidi" w:hAnsiTheme="majorBidi" w:cstheme="majorBidi"/>
          <w:i/>
          <w:iCs/>
          <w:sz w:val="24"/>
          <w:szCs w:val="24"/>
        </w:rPr>
        <w:t>Prospect 3</w:t>
      </w:r>
      <w:r w:rsidR="00654B8B" w:rsidRPr="00654B8B">
        <w:rPr>
          <w:rFonts w:asciiTheme="majorBidi" w:hAnsiTheme="majorBidi" w:cstheme="majorBidi"/>
          <w:sz w:val="24"/>
          <w:szCs w:val="24"/>
        </w:rPr>
        <w:t xml:space="preserve"> scores were always higher than those scored for the </w:t>
      </w:r>
      <w:r w:rsidR="00654B8B" w:rsidRPr="00654B8B">
        <w:rPr>
          <w:rFonts w:asciiTheme="majorBidi" w:hAnsiTheme="majorBidi" w:cstheme="majorBidi"/>
          <w:i/>
          <w:iCs/>
          <w:sz w:val="24"/>
          <w:szCs w:val="24"/>
        </w:rPr>
        <w:t>English for Iraq</w:t>
      </w:r>
      <w:r w:rsidR="00654B8B" w:rsidRPr="00654B8B">
        <w:rPr>
          <w:rFonts w:asciiTheme="majorBidi" w:hAnsiTheme="majorBidi" w:cstheme="majorBidi"/>
          <w:sz w:val="24"/>
          <w:szCs w:val="24"/>
        </w:rPr>
        <w:t xml:space="preserve"> series. The most obvious differences can be found in the areas of: (1) skills integration, (2) methodology and teaching methods, (3) objectives and their implementation and, (4) multicultural representations. </w:t>
      </w:r>
      <w:r w:rsidR="00654B8B" w:rsidRPr="00654B8B">
        <w:rPr>
          <w:rFonts w:asciiTheme="majorBidi" w:hAnsiTheme="majorBidi" w:cstheme="majorBidi"/>
          <w:i/>
          <w:iCs/>
          <w:sz w:val="24"/>
          <w:szCs w:val="24"/>
        </w:rPr>
        <w:t>English for Iraq</w:t>
      </w:r>
      <w:r w:rsidR="00654B8B" w:rsidRPr="00654B8B">
        <w:rPr>
          <w:rFonts w:asciiTheme="majorBidi" w:hAnsiTheme="majorBidi" w:cstheme="majorBidi"/>
          <w:sz w:val="24"/>
          <w:szCs w:val="24"/>
        </w:rPr>
        <w:t xml:space="preserve"> received mostly "Good" ratings on the majority of check list dimensions; however, they had lower mean scores and showed greater variability among the domains than did </w:t>
      </w:r>
      <w:r w:rsidR="00654B8B" w:rsidRPr="00654B8B">
        <w:rPr>
          <w:rFonts w:asciiTheme="majorBidi" w:hAnsiTheme="majorBidi" w:cstheme="majorBidi"/>
          <w:i/>
          <w:iCs/>
          <w:sz w:val="24"/>
          <w:szCs w:val="24"/>
        </w:rPr>
        <w:t>Prospect 3</w:t>
      </w:r>
      <w:r w:rsidR="00654B8B" w:rsidRPr="00654B8B">
        <w:rPr>
          <w:rFonts w:asciiTheme="majorBidi" w:hAnsiTheme="majorBidi" w:cstheme="majorBidi"/>
          <w:sz w:val="24"/>
          <w:szCs w:val="24"/>
        </w:rPr>
        <w:t>.</w:t>
      </w:r>
    </w:p>
    <w:p w14:paraId="3ED50250" w14:textId="77777777" w:rsidR="004E3059" w:rsidRPr="004E3059" w:rsidRDefault="004E3059" w:rsidP="004E3059">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Table 4.9</w:t>
      </w:r>
      <w:r w:rsidRPr="004E3059">
        <w:rPr>
          <w:rFonts w:ascii="Times New Roman" w:eastAsia="Times New Roman" w:hAnsi="Times New Roman" w:cs="Times New Roman"/>
          <w:kern w:val="0"/>
          <w:sz w:val="24"/>
          <w:szCs w:val="24"/>
          <w:lang w:val="en-US"/>
          <w14:ligatures w14:val="none"/>
        </w:rPr>
        <w:br/>
      </w:r>
      <w:r w:rsidRPr="004E3059">
        <w:rPr>
          <w:rFonts w:ascii="Times New Roman" w:eastAsia="Times New Roman" w:hAnsi="Times New Roman" w:cs="Times New Roman"/>
          <w:i/>
          <w:iCs/>
          <w:kern w:val="0"/>
          <w:sz w:val="24"/>
          <w:szCs w:val="24"/>
          <w:lang w:val="en-US"/>
          <w14:ligatures w14:val="none"/>
        </w:rPr>
        <w:t>Consolidated Comparison of Checklist Dimensions</w:t>
      </w:r>
    </w:p>
    <w:tbl>
      <w:tblPr>
        <w:tblStyle w:val="TableGrid"/>
        <w:tblW w:w="9110" w:type="dxa"/>
        <w:tblLook w:val="04A0" w:firstRow="1" w:lastRow="0" w:firstColumn="1" w:lastColumn="0" w:noHBand="0" w:noVBand="1"/>
      </w:tblPr>
      <w:tblGrid>
        <w:gridCol w:w="2880"/>
        <w:gridCol w:w="1763"/>
        <w:gridCol w:w="1587"/>
        <w:gridCol w:w="1528"/>
        <w:gridCol w:w="1352"/>
      </w:tblGrid>
      <w:tr w:rsidR="00151A47" w:rsidRPr="004E3059" w14:paraId="09BF19B9" w14:textId="77777777" w:rsidTr="00151A47">
        <w:trPr>
          <w:trHeight w:val="782"/>
        </w:trPr>
        <w:tc>
          <w:tcPr>
            <w:tcW w:w="0" w:type="auto"/>
            <w:tcBorders>
              <w:left w:val="single" w:sz="4" w:space="0" w:color="FFFFFF"/>
              <w:right w:val="single" w:sz="4" w:space="0" w:color="FFFFFF"/>
            </w:tcBorders>
            <w:hideMark/>
          </w:tcPr>
          <w:p w14:paraId="0CC67DCC" w14:textId="77777777" w:rsidR="004E3059" w:rsidRPr="004E3059" w:rsidRDefault="004E3059" w:rsidP="00151A47">
            <w:pP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Checklist Dimension</w:t>
            </w:r>
          </w:p>
        </w:tc>
        <w:tc>
          <w:tcPr>
            <w:tcW w:w="0" w:type="auto"/>
            <w:tcBorders>
              <w:left w:val="single" w:sz="4" w:space="0" w:color="FFFFFF"/>
              <w:right w:val="single" w:sz="4" w:space="0" w:color="FFFFFF"/>
            </w:tcBorders>
            <w:hideMark/>
          </w:tcPr>
          <w:p w14:paraId="35D4C092"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English for Iraq Mean</w:t>
            </w:r>
          </w:p>
        </w:tc>
        <w:tc>
          <w:tcPr>
            <w:tcW w:w="0" w:type="auto"/>
            <w:tcBorders>
              <w:left w:val="single" w:sz="4" w:space="0" w:color="FFFFFF"/>
              <w:right w:val="single" w:sz="4" w:space="0" w:color="FFFFFF"/>
            </w:tcBorders>
            <w:hideMark/>
          </w:tcPr>
          <w:p w14:paraId="3DEC6320"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English for Iraq %</w:t>
            </w:r>
          </w:p>
        </w:tc>
        <w:tc>
          <w:tcPr>
            <w:tcW w:w="0" w:type="auto"/>
            <w:tcBorders>
              <w:left w:val="single" w:sz="4" w:space="0" w:color="FFFFFF"/>
              <w:right w:val="single" w:sz="4" w:space="0" w:color="FFFFFF"/>
            </w:tcBorders>
            <w:hideMark/>
          </w:tcPr>
          <w:p w14:paraId="30A3A468"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Prospect 3 Mean</w:t>
            </w:r>
          </w:p>
        </w:tc>
        <w:tc>
          <w:tcPr>
            <w:tcW w:w="0" w:type="auto"/>
            <w:tcBorders>
              <w:left w:val="single" w:sz="4" w:space="0" w:color="FFFFFF"/>
              <w:right w:val="single" w:sz="4" w:space="0" w:color="FFFFFF"/>
            </w:tcBorders>
            <w:hideMark/>
          </w:tcPr>
          <w:p w14:paraId="10E70532" w14:textId="77777777" w:rsidR="004E3059" w:rsidRPr="004E3059" w:rsidRDefault="004E3059" w:rsidP="00151A47">
            <w:pPr>
              <w:jc w:val="center"/>
              <w:rPr>
                <w:rFonts w:ascii="Times New Roman" w:eastAsia="Times New Roman" w:hAnsi="Times New Roman" w:cs="Times New Roman"/>
                <w:b/>
                <w:bCs/>
                <w:kern w:val="0"/>
                <w:sz w:val="24"/>
                <w:szCs w:val="24"/>
                <w:lang w:val="en-US"/>
                <w14:ligatures w14:val="none"/>
              </w:rPr>
            </w:pPr>
            <w:r w:rsidRPr="004E3059">
              <w:rPr>
                <w:rFonts w:ascii="Times New Roman" w:eastAsia="Times New Roman" w:hAnsi="Times New Roman" w:cs="Times New Roman"/>
                <w:b/>
                <w:bCs/>
                <w:kern w:val="0"/>
                <w:sz w:val="24"/>
                <w:szCs w:val="24"/>
                <w:lang w:val="en-US"/>
                <w14:ligatures w14:val="none"/>
              </w:rPr>
              <w:t>Prospect 3 %</w:t>
            </w:r>
          </w:p>
        </w:tc>
      </w:tr>
      <w:tr w:rsidR="00151A47" w:rsidRPr="004E3059" w14:paraId="343BB658" w14:textId="77777777" w:rsidTr="00151A47">
        <w:trPr>
          <w:trHeight w:val="755"/>
        </w:trPr>
        <w:tc>
          <w:tcPr>
            <w:tcW w:w="0" w:type="auto"/>
            <w:tcBorders>
              <w:left w:val="single" w:sz="4" w:space="0" w:color="FFFFFF"/>
              <w:bottom w:val="single" w:sz="4" w:space="0" w:color="FFFFFF"/>
              <w:right w:val="single" w:sz="4" w:space="0" w:color="FFFFFF"/>
            </w:tcBorders>
            <w:hideMark/>
          </w:tcPr>
          <w:p w14:paraId="034A776C"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Physical and Aesthetic Features</w:t>
            </w:r>
          </w:p>
        </w:tc>
        <w:tc>
          <w:tcPr>
            <w:tcW w:w="0" w:type="auto"/>
            <w:tcBorders>
              <w:left w:val="single" w:sz="4" w:space="0" w:color="FFFFFF"/>
              <w:bottom w:val="single" w:sz="4" w:space="0" w:color="FFFFFF"/>
              <w:right w:val="single" w:sz="4" w:space="0" w:color="FFFFFF"/>
            </w:tcBorders>
            <w:hideMark/>
          </w:tcPr>
          <w:p w14:paraId="5AD419F6"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2.60</w:t>
            </w:r>
          </w:p>
        </w:tc>
        <w:tc>
          <w:tcPr>
            <w:tcW w:w="0" w:type="auto"/>
            <w:tcBorders>
              <w:left w:val="single" w:sz="4" w:space="0" w:color="FFFFFF"/>
              <w:bottom w:val="single" w:sz="4" w:space="0" w:color="FFFFFF"/>
              <w:right w:val="single" w:sz="4" w:space="0" w:color="FFFFFF"/>
            </w:tcBorders>
            <w:hideMark/>
          </w:tcPr>
          <w:p w14:paraId="15F4E743"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86.7%</w:t>
            </w:r>
          </w:p>
        </w:tc>
        <w:tc>
          <w:tcPr>
            <w:tcW w:w="0" w:type="auto"/>
            <w:tcBorders>
              <w:left w:val="single" w:sz="4" w:space="0" w:color="FFFFFF"/>
              <w:bottom w:val="single" w:sz="4" w:space="0" w:color="FFFFFF"/>
              <w:right w:val="single" w:sz="4" w:space="0" w:color="FFFFFF"/>
            </w:tcBorders>
            <w:hideMark/>
          </w:tcPr>
          <w:p w14:paraId="6F58A73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2.80</w:t>
            </w:r>
          </w:p>
        </w:tc>
        <w:tc>
          <w:tcPr>
            <w:tcW w:w="0" w:type="auto"/>
            <w:tcBorders>
              <w:left w:val="single" w:sz="4" w:space="0" w:color="FFFFFF"/>
              <w:bottom w:val="single" w:sz="4" w:space="0" w:color="FFFFFF"/>
              <w:right w:val="single" w:sz="4" w:space="0" w:color="FFFFFF"/>
            </w:tcBorders>
            <w:hideMark/>
          </w:tcPr>
          <w:p w14:paraId="3714CE50"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93.3%</w:t>
            </w:r>
          </w:p>
        </w:tc>
      </w:tr>
      <w:tr w:rsidR="00151A47" w:rsidRPr="004E3059" w14:paraId="41AE3E36" w14:textId="77777777" w:rsidTr="00151A47">
        <w:trPr>
          <w:trHeight w:val="437"/>
        </w:trPr>
        <w:tc>
          <w:tcPr>
            <w:tcW w:w="0" w:type="auto"/>
            <w:tcBorders>
              <w:top w:val="single" w:sz="4" w:space="0" w:color="FFFFFF"/>
              <w:left w:val="single" w:sz="4" w:space="0" w:color="FFFFFF"/>
              <w:bottom w:val="single" w:sz="4" w:space="0" w:color="FFFFFF"/>
              <w:right w:val="single" w:sz="4" w:space="0" w:color="FFFFFF"/>
            </w:tcBorders>
            <w:hideMark/>
          </w:tcPr>
          <w:p w14:paraId="71CF1B4B"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Objectives</w:t>
            </w:r>
          </w:p>
        </w:tc>
        <w:tc>
          <w:tcPr>
            <w:tcW w:w="0" w:type="auto"/>
            <w:tcBorders>
              <w:top w:val="single" w:sz="4" w:space="0" w:color="FFFFFF"/>
              <w:left w:val="single" w:sz="4" w:space="0" w:color="FFFFFF"/>
              <w:bottom w:val="single" w:sz="4" w:space="0" w:color="FFFFFF"/>
              <w:right w:val="single" w:sz="4" w:space="0" w:color="FFFFFF"/>
            </w:tcBorders>
            <w:hideMark/>
          </w:tcPr>
          <w:p w14:paraId="3156F77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top w:val="single" w:sz="4" w:space="0" w:color="FFFFFF"/>
              <w:left w:val="single" w:sz="4" w:space="0" w:color="FFFFFF"/>
              <w:bottom w:val="single" w:sz="4" w:space="0" w:color="FFFFFF"/>
              <w:right w:val="single" w:sz="4" w:space="0" w:color="FFFFFF"/>
            </w:tcBorders>
            <w:hideMark/>
          </w:tcPr>
          <w:p w14:paraId="70608DBC"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c>
          <w:tcPr>
            <w:tcW w:w="0" w:type="auto"/>
            <w:tcBorders>
              <w:top w:val="single" w:sz="4" w:space="0" w:color="FFFFFF"/>
              <w:left w:val="single" w:sz="4" w:space="0" w:color="FFFFFF"/>
              <w:bottom w:val="single" w:sz="4" w:space="0" w:color="FFFFFF"/>
              <w:right w:val="single" w:sz="4" w:space="0" w:color="FFFFFF"/>
            </w:tcBorders>
            <w:hideMark/>
          </w:tcPr>
          <w:p w14:paraId="432A48A7"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2.90</w:t>
            </w:r>
          </w:p>
        </w:tc>
        <w:tc>
          <w:tcPr>
            <w:tcW w:w="0" w:type="auto"/>
            <w:tcBorders>
              <w:top w:val="single" w:sz="4" w:space="0" w:color="FFFFFF"/>
              <w:left w:val="single" w:sz="4" w:space="0" w:color="FFFFFF"/>
              <w:bottom w:val="single" w:sz="4" w:space="0" w:color="FFFFFF"/>
              <w:right w:val="single" w:sz="4" w:space="0" w:color="FFFFFF"/>
            </w:tcBorders>
            <w:hideMark/>
          </w:tcPr>
          <w:p w14:paraId="4832031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96.7%</w:t>
            </w:r>
          </w:p>
        </w:tc>
      </w:tr>
      <w:tr w:rsidR="00151A47" w:rsidRPr="004E3059" w14:paraId="2D425B9C" w14:textId="77777777" w:rsidTr="00151A47">
        <w:trPr>
          <w:trHeight w:val="557"/>
        </w:trPr>
        <w:tc>
          <w:tcPr>
            <w:tcW w:w="0" w:type="auto"/>
            <w:tcBorders>
              <w:top w:val="single" w:sz="4" w:space="0" w:color="FFFFFF"/>
              <w:left w:val="single" w:sz="4" w:space="0" w:color="FFFFFF"/>
              <w:bottom w:val="single" w:sz="4" w:space="0" w:color="FFFFFF"/>
              <w:right w:val="single" w:sz="4" w:space="0" w:color="FFFFFF"/>
            </w:tcBorders>
            <w:hideMark/>
          </w:tcPr>
          <w:p w14:paraId="54956CD1"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Subject Matter and Content</w:t>
            </w:r>
          </w:p>
        </w:tc>
        <w:tc>
          <w:tcPr>
            <w:tcW w:w="0" w:type="auto"/>
            <w:tcBorders>
              <w:top w:val="single" w:sz="4" w:space="0" w:color="FFFFFF"/>
              <w:left w:val="single" w:sz="4" w:space="0" w:color="FFFFFF"/>
              <w:bottom w:val="single" w:sz="4" w:space="0" w:color="FFFFFF"/>
              <w:right w:val="single" w:sz="4" w:space="0" w:color="FFFFFF"/>
            </w:tcBorders>
            <w:hideMark/>
          </w:tcPr>
          <w:p w14:paraId="037C678B"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2.50</w:t>
            </w:r>
          </w:p>
        </w:tc>
        <w:tc>
          <w:tcPr>
            <w:tcW w:w="0" w:type="auto"/>
            <w:tcBorders>
              <w:top w:val="single" w:sz="4" w:space="0" w:color="FFFFFF"/>
              <w:left w:val="single" w:sz="4" w:space="0" w:color="FFFFFF"/>
              <w:bottom w:val="single" w:sz="4" w:space="0" w:color="FFFFFF"/>
              <w:right w:val="single" w:sz="4" w:space="0" w:color="FFFFFF"/>
            </w:tcBorders>
            <w:hideMark/>
          </w:tcPr>
          <w:p w14:paraId="569CFC43"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83.3%</w:t>
            </w:r>
          </w:p>
        </w:tc>
        <w:tc>
          <w:tcPr>
            <w:tcW w:w="0" w:type="auto"/>
            <w:tcBorders>
              <w:top w:val="single" w:sz="4" w:space="0" w:color="FFFFFF"/>
              <w:left w:val="single" w:sz="4" w:space="0" w:color="FFFFFF"/>
              <w:bottom w:val="single" w:sz="4" w:space="0" w:color="FFFFFF"/>
              <w:right w:val="single" w:sz="4" w:space="0" w:color="FFFFFF"/>
            </w:tcBorders>
            <w:hideMark/>
          </w:tcPr>
          <w:p w14:paraId="5F867C17"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2.80</w:t>
            </w:r>
          </w:p>
        </w:tc>
        <w:tc>
          <w:tcPr>
            <w:tcW w:w="0" w:type="auto"/>
            <w:tcBorders>
              <w:top w:val="single" w:sz="4" w:space="0" w:color="FFFFFF"/>
              <w:left w:val="single" w:sz="4" w:space="0" w:color="FFFFFF"/>
              <w:bottom w:val="single" w:sz="4" w:space="0" w:color="FFFFFF"/>
              <w:right w:val="single" w:sz="4" w:space="0" w:color="FFFFFF"/>
            </w:tcBorders>
            <w:hideMark/>
          </w:tcPr>
          <w:p w14:paraId="455371D2"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93.3%</w:t>
            </w:r>
          </w:p>
        </w:tc>
      </w:tr>
      <w:tr w:rsidR="00151A47" w:rsidRPr="004E3059" w14:paraId="23EEDB36" w14:textId="77777777" w:rsidTr="00151A47">
        <w:trPr>
          <w:trHeight w:val="457"/>
        </w:trPr>
        <w:tc>
          <w:tcPr>
            <w:tcW w:w="0" w:type="auto"/>
            <w:tcBorders>
              <w:top w:val="single" w:sz="4" w:space="0" w:color="FFFFFF"/>
              <w:left w:val="single" w:sz="4" w:space="0" w:color="FFFFFF"/>
              <w:bottom w:val="single" w:sz="4" w:space="0" w:color="FFFFFF"/>
              <w:right w:val="single" w:sz="4" w:space="0" w:color="FFFFFF"/>
            </w:tcBorders>
            <w:hideMark/>
          </w:tcPr>
          <w:p w14:paraId="65C12CBD"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Language Type and Level</w:t>
            </w:r>
          </w:p>
        </w:tc>
        <w:tc>
          <w:tcPr>
            <w:tcW w:w="0" w:type="auto"/>
            <w:tcBorders>
              <w:top w:val="single" w:sz="4" w:space="0" w:color="FFFFFF"/>
              <w:left w:val="single" w:sz="4" w:space="0" w:color="FFFFFF"/>
              <w:bottom w:val="single" w:sz="4" w:space="0" w:color="FFFFFF"/>
              <w:right w:val="single" w:sz="4" w:space="0" w:color="FFFFFF"/>
            </w:tcBorders>
            <w:hideMark/>
          </w:tcPr>
          <w:p w14:paraId="3EDE29EC"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2.50</w:t>
            </w:r>
          </w:p>
        </w:tc>
        <w:tc>
          <w:tcPr>
            <w:tcW w:w="0" w:type="auto"/>
            <w:tcBorders>
              <w:top w:val="single" w:sz="4" w:space="0" w:color="FFFFFF"/>
              <w:left w:val="single" w:sz="4" w:space="0" w:color="FFFFFF"/>
              <w:bottom w:val="single" w:sz="4" w:space="0" w:color="FFFFFF"/>
              <w:right w:val="single" w:sz="4" w:space="0" w:color="FFFFFF"/>
            </w:tcBorders>
            <w:hideMark/>
          </w:tcPr>
          <w:p w14:paraId="6BFB25B6"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83.3%</w:t>
            </w:r>
          </w:p>
        </w:tc>
        <w:tc>
          <w:tcPr>
            <w:tcW w:w="0" w:type="auto"/>
            <w:tcBorders>
              <w:top w:val="single" w:sz="4" w:space="0" w:color="FFFFFF"/>
              <w:left w:val="single" w:sz="4" w:space="0" w:color="FFFFFF"/>
              <w:bottom w:val="single" w:sz="4" w:space="0" w:color="FFFFFF"/>
              <w:right w:val="single" w:sz="4" w:space="0" w:color="FFFFFF"/>
            </w:tcBorders>
            <w:hideMark/>
          </w:tcPr>
          <w:p w14:paraId="1CE2B54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2.70</w:t>
            </w:r>
          </w:p>
        </w:tc>
        <w:tc>
          <w:tcPr>
            <w:tcW w:w="0" w:type="auto"/>
            <w:tcBorders>
              <w:top w:val="single" w:sz="4" w:space="0" w:color="FFFFFF"/>
              <w:left w:val="single" w:sz="4" w:space="0" w:color="FFFFFF"/>
              <w:bottom w:val="single" w:sz="4" w:space="0" w:color="FFFFFF"/>
              <w:right w:val="single" w:sz="4" w:space="0" w:color="FFFFFF"/>
            </w:tcBorders>
            <w:hideMark/>
          </w:tcPr>
          <w:p w14:paraId="4051F9F4"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90.0%</w:t>
            </w:r>
          </w:p>
        </w:tc>
      </w:tr>
      <w:tr w:rsidR="00151A47" w:rsidRPr="004E3059" w14:paraId="69496C57" w14:textId="77777777" w:rsidTr="00151A47">
        <w:trPr>
          <w:trHeight w:val="457"/>
        </w:trPr>
        <w:tc>
          <w:tcPr>
            <w:tcW w:w="0" w:type="auto"/>
            <w:tcBorders>
              <w:top w:val="single" w:sz="4" w:space="0" w:color="FFFFFF"/>
              <w:left w:val="single" w:sz="4" w:space="0" w:color="FFFFFF"/>
              <w:bottom w:val="single" w:sz="4" w:space="0" w:color="FFFFFF"/>
              <w:right w:val="single" w:sz="4" w:space="0" w:color="FFFFFF"/>
            </w:tcBorders>
            <w:hideMark/>
          </w:tcPr>
          <w:p w14:paraId="1D5C6ABB"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Skills Integration</w:t>
            </w:r>
          </w:p>
        </w:tc>
        <w:tc>
          <w:tcPr>
            <w:tcW w:w="0" w:type="auto"/>
            <w:tcBorders>
              <w:top w:val="single" w:sz="4" w:space="0" w:color="FFFFFF"/>
              <w:left w:val="single" w:sz="4" w:space="0" w:color="FFFFFF"/>
              <w:bottom w:val="single" w:sz="4" w:space="0" w:color="FFFFFF"/>
              <w:right w:val="single" w:sz="4" w:space="0" w:color="FFFFFF"/>
            </w:tcBorders>
            <w:hideMark/>
          </w:tcPr>
          <w:p w14:paraId="7D773FAD"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top w:val="single" w:sz="4" w:space="0" w:color="FFFFFF"/>
              <w:left w:val="single" w:sz="4" w:space="0" w:color="FFFFFF"/>
              <w:bottom w:val="single" w:sz="4" w:space="0" w:color="FFFFFF"/>
              <w:right w:val="single" w:sz="4" w:space="0" w:color="FFFFFF"/>
            </w:tcBorders>
            <w:hideMark/>
          </w:tcPr>
          <w:p w14:paraId="62D2D571"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c>
          <w:tcPr>
            <w:tcW w:w="0" w:type="auto"/>
            <w:tcBorders>
              <w:top w:val="single" w:sz="4" w:space="0" w:color="FFFFFF"/>
              <w:left w:val="single" w:sz="4" w:space="0" w:color="FFFFFF"/>
              <w:bottom w:val="single" w:sz="4" w:space="0" w:color="FFFFFF"/>
              <w:right w:val="single" w:sz="4" w:space="0" w:color="FFFFFF"/>
            </w:tcBorders>
            <w:hideMark/>
          </w:tcPr>
          <w:p w14:paraId="4D534B2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2.90</w:t>
            </w:r>
          </w:p>
        </w:tc>
        <w:tc>
          <w:tcPr>
            <w:tcW w:w="0" w:type="auto"/>
            <w:tcBorders>
              <w:top w:val="single" w:sz="4" w:space="0" w:color="FFFFFF"/>
              <w:left w:val="single" w:sz="4" w:space="0" w:color="FFFFFF"/>
              <w:bottom w:val="single" w:sz="4" w:space="0" w:color="FFFFFF"/>
              <w:right w:val="single" w:sz="4" w:space="0" w:color="FFFFFF"/>
            </w:tcBorders>
            <w:hideMark/>
          </w:tcPr>
          <w:p w14:paraId="0F772815"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96.7%</w:t>
            </w:r>
          </w:p>
        </w:tc>
      </w:tr>
      <w:tr w:rsidR="00151A47" w:rsidRPr="004E3059" w14:paraId="2815EAEC" w14:textId="77777777" w:rsidTr="00151A47">
        <w:trPr>
          <w:trHeight w:val="773"/>
        </w:trPr>
        <w:tc>
          <w:tcPr>
            <w:tcW w:w="0" w:type="auto"/>
            <w:tcBorders>
              <w:top w:val="single" w:sz="4" w:space="0" w:color="FFFFFF"/>
              <w:left w:val="single" w:sz="4" w:space="0" w:color="FFFFFF"/>
              <w:bottom w:val="single" w:sz="4" w:space="0" w:color="FFFFFF"/>
              <w:right w:val="single" w:sz="4" w:space="0" w:color="FFFFFF"/>
            </w:tcBorders>
            <w:hideMark/>
          </w:tcPr>
          <w:p w14:paraId="40CE4715"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Methodology and Teaching Approaches</w:t>
            </w:r>
          </w:p>
        </w:tc>
        <w:tc>
          <w:tcPr>
            <w:tcW w:w="0" w:type="auto"/>
            <w:tcBorders>
              <w:top w:val="single" w:sz="4" w:space="0" w:color="FFFFFF"/>
              <w:left w:val="single" w:sz="4" w:space="0" w:color="FFFFFF"/>
              <w:bottom w:val="single" w:sz="4" w:space="0" w:color="FFFFFF"/>
              <w:right w:val="single" w:sz="4" w:space="0" w:color="FFFFFF"/>
            </w:tcBorders>
            <w:hideMark/>
          </w:tcPr>
          <w:p w14:paraId="4489C5AC"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2.30</w:t>
            </w:r>
          </w:p>
        </w:tc>
        <w:tc>
          <w:tcPr>
            <w:tcW w:w="0" w:type="auto"/>
            <w:tcBorders>
              <w:top w:val="single" w:sz="4" w:space="0" w:color="FFFFFF"/>
              <w:left w:val="single" w:sz="4" w:space="0" w:color="FFFFFF"/>
              <w:bottom w:val="single" w:sz="4" w:space="0" w:color="FFFFFF"/>
              <w:right w:val="single" w:sz="4" w:space="0" w:color="FFFFFF"/>
            </w:tcBorders>
            <w:hideMark/>
          </w:tcPr>
          <w:p w14:paraId="7471378A"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76.7%</w:t>
            </w:r>
          </w:p>
        </w:tc>
        <w:tc>
          <w:tcPr>
            <w:tcW w:w="0" w:type="auto"/>
            <w:tcBorders>
              <w:top w:val="single" w:sz="4" w:space="0" w:color="FFFFFF"/>
              <w:left w:val="single" w:sz="4" w:space="0" w:color="FFFFFF"/>
              <w:bottom w:val="single" w:sz="4" w:space="0" w:color="FFFFFF"/>
              <w:right w:val="single" w:sz="4" w:space="0" w:color="FFFFFF"/>
            </w:tcBorders>
            <w:hideMark/>
          </w:tcPr>
          <w:p w14:paraId="366CA417"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2.80</w:t>
            </w:r>
          </w:p>
        </w:tc>
        <w:tc>
          <w:tcPr>
            <w:tcW w:w="0" w:type="auto"/>
            <w:tcBorders>
              <w:top w:val="single" w:sz="4" w:space="0" w:color="FFFFFF"/>
              <w:left w:val="single" w:sz="4" w:space="0" w:color="FFFFFF"/>
              <w:bottom w:val="single" w:sz="4" w:space="0" w:color="FFFFFF"/>
              <w:right w:val="single" w:sz="4" w:space="0" w:color="FFFFFF"/>
            </w:tcBorders>
            <w:hideMark/>
          </w:tcPr>
          <w:p w14:paraId="00DFE30C"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93.3%</w:t>
            </w:r>
          </w:p>
        </w:tc>
      </w:tr>
      <w:tr w:rsidR="00151A47" w:rsidRPr="004E3059" w14:paraId="7CE7F5D3" w14:textId="77777777" w:rsidTr="00151A47">
        <w:trPr>
          <w:trHeight w:val="457"/>
        </w:trPr>
        <w:tc>
          <w:tcPr>
            <w:tcW w:w="0" w:type="auto"/>
            <w:tcBorders>
              <w:top w:val="single" w:sz="4" w:space="0" w:color="FFFFFF"/>
              <w:left w:val="single" w:sz="4" w:space="0" w:color="FFFFFF"/>
              <w:bottom w:val="single" w:sz="4" w:space="0" w:color="FFFFFF"/>
              <w:right w:val="single" w:sz="4" w:space="0" w:color="FFFFFF"/>
            </w:tcBorders>
            <w:hideMark/>
          </w:tcPr>
          <w:p w14:paraId="6BE235FA"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Supporting Materials</w:t>
            </w:r>
          </w:p>
        </w:tc>
        <w:tc>
          <w:tcPr>
            <w:tcW w:w="0" w:type="auto"/>
            <w:tcBorders>
              <w:top w:val="single" w:sz="4" w:space="0" w:color="FFFFFF"/>
              <w:left w:val="single" w:sz="4" w:space="0" w:color="FFFFFF"/>
              <w:bottom w:val="single" w:sz="4" w:space="0" w:color="FFFFFF"/>
              <w:right w:val="single" w:sz="4" w:space="0" w:color="FFFFFF"/>
            </w:tcBorders>
            <w:hideMark/>
          </w:tcPr>
          <w:p w14:paraId="603D9FC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2.10</w:t>
            </w:r>
          </w:p>
        </w:tc>
        <w:tc>
          <w:tcPr>
            <w:tcW w:w="0" w:type="auto"/>
            <w:tcBorders>
              <w:top w:val="single" w:sz="4" w:space="0" w:color="FFFFFF"/>
              <w:left w:val="single" w:sz="4" w:space="0" w:color="FFFFFF"/>
              <w:bottom w:val="single" w:sz="4" w:space="0" w:color="FFFFFF"/>
              <w:right w:val="single" w:sz="4" w:space="0" w:color="FFFFFF"/>
            </w:tcBorders>
            <w:hideMark/>
          </w:tcPr>
          <w:p w14:paraId="3727A9BA"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70.0%</w:t>
            </w:r>
          </w:p>
        </w:tc>
        <w:tc>
          <w:tcPr>
            <w:tcW w:w="0" w:type="auto"/>
            <w:tcBorders>
              <w:top w:val="single" w:sz="4" w:space="0" w:color="FFFFFF"/>
              <w:left w:val="single" w:sz="4" w:space="0" w:color="FFFFFF"/>
              <w:bottom w:val="single" w:sz="4" w:space="0" w:color="FFFFFF"/>
              <w:right w:val="single" w:sz="4" w:space="0" w:color="FFFFFF"/>
            </w:tcBorders>
            <w:hideMark/>
          </w:tcPr>
          <w:p w14:paraId="07A717E5"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top w:val="single" w:sz="4" w:space="0" w:color="FFFFFF"/>
              <w:left w:val="single" w:sz="4" w:space="0" w:color="FFFFFF"/>
              <w:bottom w:val="single" w:sz="4" w:space="0" w:color="FFFFFF"/>
              <w:right w:val="single" w:sz="4" w:space="0" w:color="FFFFFF"/>
            </w:tcBorders>
            <w:hideMark/>
          </w:tcPr>
          <w:p w14:paraId="304C5F12"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r>
      <w:tr w:rsidR="00151A47" w:rsidRPr="004E3059" w14:paraId="485D3B6B" w14:textId="77777777" w:rsidTr="00151A47">
        <w:trPr>
          <w:trHeight w:val="683"/>
        </w:trPr>
        <w:tc>
          <w:tcPr>
            <w:tcW w:w="0" w:type="auto"/>
            <w:tcBorders>
              <w:top w:val="single" w:sz="4" w:space="0" w:color="FFFFFF"/>
              <w:left w:val="single" w:sz="4" w:space="0" w:color="FFFFFF"/>
              <w:bottom w:val="single" w:sz="4" w:space="0" w:color="FFFFFF"/>
              <w:right w:val="single" w:sz="4" w:space="0" w:color="FFFFFF"/>
            </w:tcBorders>
            <w:hideMark/>
          </w:tcPr>
          <w:p w14:paraId="69CE9A02"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Cultural Representation and ICC</w:t>
            </w:r>
          </w:p>
        </w:tc>
        <w:tc>
          <w:tcPr>
            <w:tcW w:w="0" w:type="auto"/>
            <w:tcBorders>
              <w:top w:val="single" w:sz="4" w:space="0" w:color="FFFFFF"/>
              <w:left w:val="single" w:sz="4" w:space="0" w:color="FFFFFF"/>
              <w:bottom w:val="single" w:sz="4" w:space="0" w:color="FFFFFF"/>
              <w:right w:val="single" w:sz="4" w:space="0" w:color="FFFFFF"/>
            </w:tcBorders>
            <w:hideMark/>
          </w:tcPr>
          <w:p w14:paraId="35F73065"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2.40</w:t>
            </w:r>
          </w:p>
        </w:tc>
        <w:tc>
          <w:tcPr>
            <w:tcW w:w="0" w:type="auto"/>
            <w:tcBorders>
              <w:top w:val="single" w:sz="4" w:space="0" w:color="FFFFFF"/>
              <w:left w:val="single" w:sz="4" w:space="0" w:color="FFFFFF"/>
              <w:bottom w:val="single" w:sz="4" w:space="0" w:color="FFFFFF"/>
              <w:right w:val="single" w:sz="4" w:space="0" w:color="FFFFFF"/>
            </w:tcBorders>
            <w:hideMark/>
          </w:tcPr>
          <w:p w14:paraId="67085B38"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80.0%</w:t>
            </w:r>
          </w:p>
        </w:tc>
        <w:tc>
          <w:tcPr>
            <w:tcW w:w="0" w:type="auto"/>
            <w:tcBorders>
              <w:top w:val="single" w:sz="4" w:space="0" w:color="FFFFFF"/>
              <w:left w:val="single" w:sz="4" w:space="0" w:color="FFFFFF"/>
              <w:bottom w:val="single" w:sz="4" w:space="0" w:color="FFFFFF"/>
              <w:right w:val="single" w:sz="4" w:space="0" w:color="FFFFFF"/>
            </w:tcBorders>
            <w:hideMark/>
          </w:tcPr>
          <w:p w14:paraId="46A06CF4"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2.90</w:t>
            </w:r>
          </w:p>
        </w:tc>
        <w:tc>
          <w:tcPr>
            <w:tcW w:w="0" w:type="auto"/>
            <w:tcBorders>
              <w:top w:val="single" w:sz="4" w:space="0" w:color="FFFFFF"/>
              <w:left w:val="single" w:sz="4" w:space="0" w:color="FFFFFF"/>
              <w:bottom w:val="single" w:sz="4" w:space="0" w:color="FFFFFF"/>
              <w:right w:val="single" w:sz="4" w:space="0" w:color="FFFFFF"/>
            </w:tcBorders>
            <w:hideMark/>
          </w:tcPr>
          <w:p w14:paraId="13809EEA"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96.7%</w:t>
            </w:r>
          </w:p>
        </w:tc>
      </w:tr>
      <w:tr w:rsidR="00151A47" w:rsidRPr="004E3059" w14:paraId="7A2E9142" w14:textId="77777777" w:rsidTr="00151A47">
        <w:trPr>
          <w:trHeight w:val="457"/>
        </w:trPr>
        <w:tc>
          <w:tcPr>
            <w:tcW w:w="0" w:type="auto"/>
            <w:tcBorders>
              <w:top w:val="single" w:sz="4" w:space="0" w:color="FFFFFF"/>
              <w:left w:val="single" w:sz="4" w:space="0" w:color="FFFFFF"/>
              <w:right w:val="single" w:sz="4" w:space="0" w:color="FFFFFF"/>
            </w:tcBorders>
            <w:hideMark/>
          </w:tcPr>
          <w:p w14:paraId="3BBD4B7E" w14:textId="77777777" w:rsidR="004E3059" w:rsidRPr="004E3059" w:rsidRDefault="004E3059" w:rsidP="004E3059">
            <w:pP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Overall Mean</w:t>
            </w:r>
          </w:p>
        </w:tc>
        <w:tc>
          <w:tcPr>
            <w:tcW w:w="0" w:type="auto"/>
            <w:tcBorders>
              <w:top w:val="single" w:sz="4" w:space="0" w:color="FFFFFF"/>
              <w:left w:val="single" w:sz="4" w:space="0" w:color="FFFFFF"/>
              <w:right w:val="single" w:sz="4" w:space="0" w:color="FFFFFF"/>
            </w:tcBorders>
            <w:hideMark/>
          </w:tcPr>
          <w:p w14:paraId="6805EF85"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2.44</w:t>
            </w:r>
          </w:p>
        </w:tc>
        <w:tc>
          <w:tcPr>
            <w:tcW w:w="0" w:type="auto"/>
            <w:tcBorders>
              <w:top w:val="single" w:sz="4" w:space="0" w:color="FFFFFF"/>
              <w:left w:val="single" w:sz="4" w:space="0" w:color="FFFFFF"/>
              <w:right w:val="single" w:sz="4" w:space="0" w:color="FFFFFF"/>
            </w:tcBorders>
            <w:hideMark/>
          </w:tcPr>
          <w:p w14:paraId="46C2BDD9"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81.3%</w:t>
            </w:r>
          </w:p>
        </w:tc>
        <w:tc>
          <w:tcPr>
            <w:tcW w:w="0" w:type="auto"/>
            <w:tcBorders>
              <w:top w:val="single" w:sz="4" w:space="0" w:color="FFFFFF"/>
              <w:left w:val="single" w:sz="4" w:space="0" w:color="FFFFFF"/>
              <w:right w:val="single" w:sz="4" w:space="0" w:color="FFFFFF"/>
            </w:tcBorders>
            <w:hideMark/>
          </w:tcPr>
          <w:p w14:paraId="37FA0353"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2.82</w:t>
            </w:r>
          </w:p>
        </w:tc>
        <w:tc>
          <w:tcPr>
            <w:tcW w:w="0" w:type="auto"/>
            <w:tcBorders>
              <w:top w:val="single" w:sz="4" w:space="0" w:color="FFFFFF"/>
              <w:left w:val="single" w:sz="4" w:space="0" w:color="FFFFFF"/>
              <w:right w:val="single" w:sz="4" w:space="0" w:color="FFFFFF"/>
            </w:tcBorders>
            <w:hideMark/>
          </w:tcPr>
          <w:p w14:paraId="0D5E6AA9" w14:textId="77777777" w:rsidR="004E3059" w:rsidRPr="004E3059" w:rsidRDefault="004E3059" w:rsidP="00151A47">
            <w:pPr>
              <w:jc w:val="center"/>
              <w:rPr>
                <w:rFonts w:ascii="Times New Roman" w:eastAsia="Times New Roman" w:hAnsi="Times New Roman" w:cs="Times New Roman"/>
                <w:kern w:val="0"/>
                <w:sz w:val="24"/>
                <w:szCs w:val="24"/>
                <w:lang w:val="en-US"/>
                <w14:ligatures w14:val="none"/>
              </w:rPr>
            </w:pPr>
            <w:r w:rsidRPr="004E3059">
              <w:rPr>
                <w:rFonts w:ascii="Times New Roman" w:eastAsia="Times New Roman" w:hAnsi="Times New Roman" w:cs="Times New Roman"/>
                <w:kern w:val="0"/>
                <w:sz w:val="24"/>
                <w:szCs w:val="24"/>
                <w:lang w:val="en-US"/>
                <w14:ligatures w14:val="none"/>
              </w:rPr>
              <w:t>94.0%</w:t>
            </w:r>
          </w:p>
        </w:tc>
      </w:tr>
    </w:tbl>
    <w:p w14:paraId="66AD519C" w14:textId="77777777" w:rsidR="004E44E9" w:rsidRDefault="004E44E9" w:rsidP="00654B8B">
      <w:pPr>
        <w:spacing w:line="480" w:lineRule="auto"/>
        <w:rPr>
          <w:rFonts w:asciiTheme="majorBidi" w:hAnsiTheme="majorBidi" w:cstheme="majorBidi"/>
          <w:sz w:val="24"/>
          <w:szCs w:val="24"/>
          <w:lang w:val="en-US"/>
        </w:rPr>
      </w:pPr>
    </w:p>
    <w:p w14:paraId="77E3BD48" w14:textId="11864262" w:rsidR="00654B8B" w:rsidRDefault="00654B8B" w:rsidP="009E4A66">
      <w:pPr>
        <w:spacing w:line="480" w:lineRule="auto"/>
        <w:rPr>
          <w:rFonts w:asciiTheme="majorBidi" w:hAnsiTheme="majorBidi" w:cstheme="majorBidi"/>
          <w:sz w:val="24"/>
          <w:szCs w:val="24"/>
          <w:lang w:val="en-US"/>
        </w:rPr>
      </w:pPr>
      <w:r w:rsidRPr="00654B8B">
        <w:rPr>
          <w:rFonts w:asciiTheme="majorBidi" w:hAnsiTheme="majorBidi" w:cstheme="majorBidi"/>
          <w:sz w:val="24"/>
          <w:szCs w:val="24"/>
          <w:lang w:val="en-US"/>
        </w:rPr>
        <w:lastRenderedPageBreak/>
        <w:t xml:space="preserve">The overall mean score for </w:t>
      </w:r>
      <w:r w:rsidRPr="00654B8B">
        <w:rPr>
          <w:rFonts w:asciiTheme="majorBidi" w:hAnsiTheme="majorBidi" w:cstheme="majorBidi"/>
          <w:i/>
          <w:iCs/>
          <w:sz w:val="24"/>
          <w:szCs w:val="24"/>
          <w:lang w:val="en-US"/>
        </w:rPr>
        <w:t>English for Iraq</w:t>
      </w:r>
      <w:r w:rsidRPr="00654B8B">
        <w:rPr>
          <w:rFonts w:asciiTheme="majorBidi" w:hAnsiTheme="majorBidi" w:cstheme="majorBidi"/>
          <w:sz w:val="24"/>
          <w:szCs w:val="24"/>
          <w:lang w:val="en-US"/>
        </w:rPr>
        <w:t xml:space="preserve"> was 2.44 (81.3%), which means that, based on the checklist criteria, the quality was "Good." The physical and aesthetic features dimension was where it performed best, showing that the layout, print quality, and visual clarity were all good. The weakest part of </w:t>
      </w:r>
      <w:r w:rsidRPr="00654B8B">
        <w:rPr>
          <w:rFonts w:asciiTheme="majorBidi" w:hAnsiTheme="majorBidi" w:cstheme="majorBidi"/>
          <w:i/>
          <w:iCs/>
          <w:sz w:val="24"/>
          <w:szCs w:val="24"/>
          <w:lang w:val="en-US"/>
        </w:rPr>
        <w:t>English for Iraq</w:t>
      </w:r>
      <w:r w:rsidRPr="00654B8B">
        <w:rPr>
          <w:rFonts w:asciiTheme="majorBidi" w:hAnsiTheme="majorBidi" w:cstheme="majorBidi"/>
          <w:sz w:val="24"/>
          <w:szCs w:val="24"/>
          <w:lang w:val="en-US"/>
        </w:rPr>
        <w:t xml:space="preserve"> was supporting materials and extra resources, which got the lowest mean score. This suggests that there wasn't much help for students beyond the main textbook.</w:t>
      </w:r>
    </w:p>
    <w:p w14:paraId="40F10F4E" w14:textId="3F06F215" w:rsidR="00654B8B" w:rsidRDefault="00654B8B" w:rsidP="00654B8B">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b/>
      </w:r>
      <w:r w:rsidRPr="00654B8B">
        <w:rPr>
          <w:rFonts w:asciiTheme="majorBidi" w:hAnsiTheme="majorBidi" w:cstheme="majorBidi"/>
          <w:sz w:val="24"/>
          <w:szCs w:val="24"/>
          <w:lang w:val="en-US"/>
        </w:rPr>
        <w:t xml:space="preserve">On the other hand, </w:t>
      </w:r>
      <w:r w:rsidRPr="00654B8B">
        <w:rPr>
          <w:rFonts w:asciiTheme="majorBidi" w:hAnsiTheme="majorBidi" w:cstheme="majorBidi"/>
          <w:i/>
          <w:iCs/>
          <w:sz w:val="24"/>
          <w:szCs w:val="24"/>
          <w:lang w:val="en-US"/>
        </w:rPr>
        <w:t>Prospect 3</w:t>
      </w:r>
      <w:r w:rsidRPr="00654B8B">
        <w:rPr>
          <w:rFonts w:asciiTheme="majorBidi" w:hAnsiTheme="majorBidi" w:cstheme="majorBidi"/>
          <w:sz w:val="24"/>
          <w:szCs w:val="24"/>
          <w:lang w:val="en-US"/>
        </w:rPr>
        <w:t xml:space="preserve"> had a higher overall mean score of 2.82 (94.0%), which put it at the top of the "Good" category in almost every area. Prospect 3's best areas were objectives, skills integration, cultural representation, and intercultural communicative competence. All of these show that it is very aligned with national curriculum goals and the principles of communicative language teaching. </w:t>
      </w:r>
      <w:r w:rsidRPr="00654B8B">
        <w:rPr>
          <w:rFonts w:asciiTheme="majorBidi" w:hAnsiTheme="majorBidi" w:cstheme="majorBidi"/>
          <w:i/>
          <w:iCs/>
          <w:sz w:val="24"/>
          <w:szCs w:val="24"/>
          <w:lang w:val="en-US"/>
        </w:rPr>
        <w:t>Prospect 3</w:t>
      </w:r>
      <w:r w:rsidRPr="00654B8B">
        <w:rPr>
          <w:rFonts w:asciiTheme="majorBidi" w:hAnsiTheme="majorBidi" w:cstheme="majorBidi"/>
          <w:sz w:val="24"/>
          <w:szCs w:val="24"/>
          <w:lang w:val="en-US"/>
        </w:rPr>
        <w:t xml:space="preserve"> also had lower scores in the supporting materials dimension, but it still did better than </w:t>
      </w:r>
      <w:r w:rsidRPr="00654B8B">
        <w:rPr>
          <w:rFonts w:asciiTheme="majorBidi" w:hAnsiTheme="majorBidi" w:cstheme="majorBidi"/>
          <w:i/>
          <w:iCs/>
          <w:sz w:val="24"/>
          <w:szCs w:val="24"/>
          <w:lang w:val="en-US"/>
        </w:rPr>
        <w:t>English for Iraq</w:t>
      </w:r>
      <w:r w:rsidRPr="00654B8B">
        <w:rPr>
          <w:rFonts w:asciiTheme="majorBidi" w:hAnsiTheme="majorBidi" w:cstheme="majorBidi"/>
          <w:sz w:val="24"/>
          <w:szCs w:val="24"/>
          <w:lang w:val="en-US"/>
        </w:rPr>
        <w:t xml:space="preserve"> in this area.</w:t>
      </w:r>
    </w:p>
    <w:p w14:paraId="3D46AD6C" w14:textId="19286DBF" w:rsidR="00654B8B" w:rsidRPr="00654B8B" w:rsidRDefault="00654B8B" w:rsidP="00654B8B">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b/>
      </w:r>
      <w:r w:rsidRPr="00654B8B">
        <w:rPr>
          <w:rFonts w:asciiTheme="majorBidi" w:hAnsiTheme="majorBidi" w:cstheme="majorBidi"/>
          <w:sz w:val="24"/>
          <w:szCs w:val="24"/>
          <w:lang w:val="en-US"/>
        </w:rPr>
        <w:t xml:space="preserve">The comparative summary shows that both textbook series are of acceptable quality, but </w:t>
      </w:r>
      <w:r w:rsidRPr="00654B8B">
        <w:rPr>
          <w:rFonts w:asciiTheme="majorBidi" w:hAnsiTheme="majorBidi" w:cstheme="majorBidi"/>
          <w:i/>
          <w:iCs/>
          <w:sz w:val="24"/>
          <w:szCs w:val="24"/>
          <w:lang w:val="en-US"/>
        </w:rPr>
        <w:t>Prospect 3</w:t>
      </w:r>
      <w:r w:rsidRPr="00654B8B">
        <w:rPr>
          <w:rFonts w:asciiTheme="majorBidi" w:hAnsiTheme="majorBidi" w:cstheme="majorBidi"/>
          <w:sz w:val="24"/>
          <w:szCs w:val="24"/>
          <w:lang w:val="en-US"/>
        </w:rPr>
        <w:t xml:space="preserve"> is more consistent and stronger in terms of pedagogy, methodology, and culture. This consolidated comparison offers a definitive quantitative basis for the interpretive analysis in Chapter Five, which explores these disparities in the context of curriculum reform, educational policy, and classroom ramifications.</w:t>
      </w:r>
    </w:p>
    <w:p w14:paraId="54D1F225" w14:textId="1D693C20" w:rsidR="004B153A" w:rsidRPr="004B153A" w:rsidRDefault="004B153A" w:rsidP="004B153A">
      <w:pPr>
        <w:spacing w:line="480" w:lineRule="auto"/>
        <w:rPr>
          <w:rFonts w:asciiTheme="majorBidi" w:hAnsiTheme="majorBidi" w:cstheme="majorBidi"/>
          <w:b/>
          <w:bCs/>
          <w:sz w:val="24"/>
          <w:szCs w:val="24"/>
          <w:lang w:val="en-US"/>
        </w:rPr>
      </w:pPr>
      <w:r w:rsidRPr="004B153A">
        <w:rPr>
          <w:rFonts w:asciiTheme="majorBidi" w:hAnsiTheme="majorBidi" w:cstheme="majorBidi"/>
          <w:b/>
          <w:bCs/>
          <w:sz w:val="24"/>
          <w:szCs w:val="24"/>
          <w:lang w:val="en-US"/>
        </w:rPr>
        <w:t>4.</w:t>
      </w:r>
      <w:r w:rsidR="00151A47">
        <w:rPr>
          <w:rFonts w:asciiTheme="majorBidi" w:hAnsiTheme="majorBidi" w:cstheme="majorBidi"/>
          <w:b/>
          <w:bCs/>
          <w:sz w:val="24"/>
          <w:szCs w:val="24"/>
          <w:lang w:val="en-US"/>
        </w:rPr>
        <w:t>2.</w:t>
      </w:r>
      <w:r w:rsidRPr="004B153A">
        <w:rPr>
          <w:rFonts w:asciiTheme="majorBidi" w:hAnsiTheme="majorBidi" w:cstheme="majorBidi"/>
          <w:b/>
          <w:bCs/>
          <w:sz w:val="24"/>
          <w:szCs w:val="24"/>
          <w:lang w:val="en-US"/>
        </w:rPr>
        <w:t>5 Results in Relation to Research Questions</w:t>
      </w:r>
    </w:p>
    <w:p w14:paraId="15435DD2" w14:textId="0B21A580" w:rsidR="004B153A" w:rsidRDefault="004B153A" w:rsidP="004B153A">
      <w:pPr>
        <w:spacing w:line="480" w:lineRule="auto"/>
        <w:rPr>
          <w:rFonts w:asciiTheme="majorBidi" w:hAnsiTheme="majorBidi" w:cstheme="majorBidi"/>
          <w:sz w:val="24"/>
          <w:szCs w:val="24"/>
          <w:lang w:val="en-US"/>
        </w:rPr>
      </w:pPr>
      <w:r w:rsidRPr="004B153A">
        <w:rPr>
          <w:rFonts w:asciiTheme="majorBidi" w:hAnsiTheme="majorBidi" w:cstheme="majorBidi"/>
          <w:sz w:val="24"/>
          <w:szCs w:val="24"/>
          <w:lang w:val="en-US"/>
        </w:rPr>
        <w:t xml:space="preserve">This section presents the study’s findings explicitly in relation to each research question. Drawing on the quantitative results reported in Sections 4.3 and 4.4, each subsection summarizes how </w:t>
      </w:r>
      <w:r w:rsidRPr="004B153A">
        <w:rPr>
          <w:rFonts w:asciiTheme="majorBidi" w:hAnsiTheme="majorBidi" w:cstheme="majorBidi"/>
          <w:i/>
          <w:iCs/>
          <w:sz w:val="24"/>
          <w:szCs w:val="24"/>
          <w:lang w:val="en-US"/>
        </w:rPr>
        <w:t>English for Iraq</w:t>
      </w:r>
      <w:r w:rsidRPr="004B153A">
        <w:rPr>
          <w:rFonts w:asciiTheme="majorBidi" w:hAnsiTheme="majorBidi" w:cstheme="majorBidi"/>
          <w:sz w:val="24"/>
          <w:szCs w:val="24"/>
          <w:lang w:val="en-US"/>
        </w:rPr>
        <w:t xml:space="preserve"> (Grade 9) and </w:t>
      </w:r>
      <w:r w:rsidRPr="004B153A">
        <w:rPr>
          <w:rFonts w:asciiTheme="majorBidi" w:hAnsiTheme="majorBidi" w:cstheme="majorBidi"/>
          <w:i/>
          <w:iCs/>
          <w:sz w:val="24"/>
          <w:szCs w:val="24"/>
          <w:lang w:val="en-US"/>
        </w:rPr>
        <w:t>Prospect 3</w:t>
      </w:r>
      <w:r w:rsidRPr="004B153A">
        <w:rPr>
          <w:rFonts w:asciiTheme="majorBidi" w:hAnsiTheme="majorBidi" w:cstheme="majorBidi"/>
          <w:sz w:val="24"/>
          <w:szCs w:val="24"/>
          <w:lang w:val="en-US"/>
        </w:rPr>
        <w:t xml:space="preserve"> compare with respect to the specific focus of each research question. The results are reported descriptively, with reference to the aggregated mean scores and percentage values obtained from AbdelWahab’s (2013) checklist.</w:t>
      </w:r>
    </w:p>
    <w:p w14:paraId="24D6DE84" w14:textId="1C850B36" w:rsidR="00724E74" w:rsidRPr="00724E74" w:rsidRDefault="00724E74" w:rsidP="004B153A">
      <w:pPr>
        <w:spacing w:line="480" w:lineRule="auto"/>
        <w:rPr>
          <w:rFonts w:asciiTheme="majorBidi" w:hAnsiTheme="majorBidi" w:cstheme="majorBidi"/>
          <w:b/>
          <w:bCs/>
          <w:sz w:val="24"/>
          <w:szCs w:val="24"/>
          <w:lang w:val="en-US"/>
        </w:rPr>
      </w:pPr>
      <w:r w:rsidRPr="00724E74">
        <w:rPr>
          <w:rFonts w:asciiTheme="majorBidi" w:hAnsiTheme="majorBidi" w:cstheme="majorBidi"/>
          <w:b/>
          <w:bCs/>
          <w:sz w:val="24"/>
          <w:szCs w:val="24"/>
          <w:lang w:val="en-US"/>
        </w:rPr>
        <w:lastRenderedPageBreak/>
        <w:t>Summary of the results</w:t>
      </w:r>
    </w:p>
    <w:p w14:paraId="64113610" w14:textId="7DAA2C28" w:rsidR="004B153A" w:rsidRPr="004B153A" w:rsidRDefault="004B153A" w:rsidP="00724E74">
      <w:pPr>
        <w:spacing w:line="480" w:lineRule="auto"/>
        <w:rPr>
          <w:rFonts w:asciiTheme="majorBidi" w:hAnsiTheme="majorBidi" w:cstheme="majorBidi"/>
          <w:sz w:val="24"/>
          <w:szCs w:val="24"/>
          <w:lang w:val="en-US"/>
        </w:rPr>
      </w:pPr>
      <w:r w:rsidRPr="004B153A">
        <w:rPr>
          <w:rFonts w:asciiTheme="majorBidi" w:hAnsiTheme="majorBidi" w:cstheme="majorBidi"/>
          <w:sz w:val="24"/>
          <w:szCs w:val="24"/>
          <w:lang w:val="en-US"/>
        </w:rPr>
        <w:t xml:space="preserve">The first research question examined the extent to which the </w:t>
      </w:r>
      <w:r w:rsidRPr="004B153A">
        <w:rPr>
          <w:rFonts w:asciiTheme="majorBidi" w:hAnsiTheme="majorBidi" w:cstheme="majorBidi"/>
          <w:i/>
          <w:iCs/>
          <w:sz w:val="24"/>
          <w:szCs w:val="24"/>
          <w:lang w:val="en-US"/>
        </w:rPr>
        <w:t>English for Iraq</w:t>
      </w:r>
      <w:r w:rsidRPr="004B153A">
        <w:rPr>
          <w:rFonts w:asciiTheme="majorBidi" w:hAnsiTheme="majorBidi" w:cstheme="majorBidi"/>
          <w:sz w:val="24"/>
          <w:szCs w:val="24"/>
          <w:lang w:val="en-US"/>
        </w:rPr>
        <w:t xml:space="preserve"> and </w:t>
      </w:r>
      <w:r w:rsidRPr="004B153A">
        <w:rPr>
          <w:rFonts w:asciiTheme="majorBidi" w:hAnsiTheme="majorBidi" w:cstheme="majorBidi"/>
          <w:i/>
          <w:iCs/>
          <w:sz w:val="24"/>
          <w:szCs w:val="24"/>
          <w:lang w:val="en-US"/>
        </w:rPr>
        <w:t>Prospect</w:t>
      </w:r>
      <w:r w:rsidRPr="004B153A">
        <w:rPr>
          <w:rFonts w:asciiTheme="majorBidi" w:hAnsiTheme="majorBidi" w:cstheme="majorBidi"/>
          <w:sz w:val="24"/>
          <w:szCs w:val="24"/>
          <w:lang w:val="en-US"/>
        </w:rPr>
        <w:t xml:space="preserve"> textbook series differ in terms of physical presentation. The quantitative results indicate that both textbooks achieved “Good” ratings in this dimension, reflecting acceptable standards in layout organization, print quality, font readability, textbook size, and visual clarity. However, </w:t>
      </w:r>
      <w:r w:rsidRPr="004B153A">
        <w:rPr>
          <w:rFonts w:asciiTheme="majorBidi" w:hAnsiTheme="majorBidi" w:cstheme="majorBidi"/>
          <w:i/>
          <w:iCs/>
          <w:sz w:val="24"/>
          <w:szCs w:val="24"/>
          <w:lang w:val="en-US"/>
        </w:rPr>
        <w:t>Prospect 3</w:t>
      </w:r>
      <w:r w:rsidRPr="004B153A">
        <w:rPr>
          <w:rFonts w:asciiTheme="majorBidi" w:hAnsiTheme="majorBidi" w:cstheme="majorBidi"/>
          <w:sz w:val="24"/>
          <w:szCs w:val="24"/>
          <w:lang w:val="en-US"/>
        </w:rPr>
        <w:t xml:space="preserve"> obtained a higher mean score (2.80; 93.3%) than </w:t>
      </w:r>
      <w:r w:rsidRPr="004B153A">
        <w:rPr>
          <w:rFonts w:asciiTheme="majorBidi" w:hAnsiTheme="majorBidi" w:cstheme="majorBidi"/>
          <w:i/>
          <w:iCs/>
          <w:sz w:val="24"/>
          <w:szCs w:val="24"/>
          <w:lang w:val="en-US"/>
        </w:rPr>
        <w:t>English for Iraq</w:t>
      </w:r>
      <w:r w:rsidRPr="004B153A">
        <w:rPr>
          <w:rFonts w:asciiTheme="majorBidi" w:hAnsiTheme="majorBidi" w:cstheme="majorBidi"/>
          <w:sz w:val="24"/>
          <w:szCs w:val="24"/>
          <w:lang w:val="en-US"/>
        </w:rPr>
        <w:t xml:space="preserve"> (2.60; 86.7%).</w:t>
      </w:r>
      <w:r w:rsidR="00724E74">
        <w:rPr>
          <w:rFonts w:asciiTheme="majorBidi" w:hAnsiTheme="majorBidi" w:cstheme="majorBidi"/>
          <w:sz w:val="24"/>
          <w:szCs w:val="24"/>
          <w:lang w:val="en-US"/>
        </w:rPr>
        <w:t xml:space="preserve"> </w:t>
      </w:r>
      <w:r w:rsidRPr="004B153A">
        <w:rPr>
          <w:rFonts w:asciiTheme="majorBidi" w:hAnsiTheme="majorBidi" w:cstheme="majorBidi"/>
          <w:sz w:val="24"/>
          <w:szCs w:val="24"/>
          <w:lang w:val="en-US"/>
        </w:rPr>
        <w:t xml:space="preserve">These results suggest that while both textbooks are adequately designed for classroom use, </w:t>
      </w:r>
      <w:r w:rsidRPr="004B153A">
        <w:rPr>
          <w:rFonts w:asciiTheme="majorBidi" w:hAnsiTheme="majorBidi" w:cstheme="majorBidi"/>
          <w:i/>
          <w:iCs/>
          <w:sz w:val="24"/>
          <w:szCs w:val="24"/>
          <w:lang w:val="en-US"/>
        </w:rPr>
        <w:t>Prospect 3</w:t>
      </w:r>
      <w:r w:rsidRPr="004B153A">
        <w:rPr>
          <w:rFonts w:asciiTheme="majorBidi" w:hAnsiTheme="majorBidi" w:cstheme="majorBidi"/>
          <w:sz w:val="24"/>
          <w:szCs w:val="24"/>
          <w:lang w:val="en-US"/>
        </w:rPr>
        <w:t xml:space="preserve"> demonstrates stronger visual coherence and learner-oriented design. The higher score for </w:t>
      </w:r>
      <w:r w:rsidRPr="004B153A">
        <w:rPr>
          <w:rFonts w:asciiTheme="majorBidi" w:hAnsiTheme="majorBidi" w:cstheme="majorBidi"/>
          <w:i/>
          <w:iCs/>
          <w:sz w:val="24"/>
          <w:szCs w:val="24"/>
          <w:lang w:val="en-US"/>
        </w:rPr>
        <w:t>Prospect 3</w:t>
      </w:r>
      <w:r w:rsidRPr="004B153A">
        <w:rPr>
          <w:rFonts w:asciiTheme="majorBidi" w:hAnsiTheme="majorBidi" w:cstheme="majorBidi"/>
          <w:sz w:val="24"/>
          <w:szCs w:val="24"/>
          <w:lang w:val="en-US"/>
        </w:rPr>
        <w:t xml:space="preserve"> reflects more consistent use of illustrations aligned with lesson themes and greater attention to visual engagement. In contrast, </w:t>
      </w:r>
      <w:r w:rsidRPr="004B153A">
        <w:rPr>
          <w:rFonts w:asciiTheme="majorBidi" w:hAnsiTheme="majorBidi" w:cstheme="majorBidi"/>
          <w:i/>
          <w:iCs/>
          <w:sz w:val="24"/>
          <w:szCs w:val="24"/>
          <w:lang w:val="en-US"/>
        </w:rPr>
        <w:t>English for Iraq</w:t>
      </w:r>
      <w:r w:rsidRPr="004B153A">
        <w:rPr>
          <w:rFonts w:asciiTheme="majorBidi" w:hAnsiTheme="majorBidi" w:cstheme="majorBidi"/>
          <w:sz w:val="24"/>
          <w:szCs w:val="24"/>
          <w:lang w:val="en-US"/>
        </w:rPr>
        <w:t xml:space="preserve"> shows satisfactory physical quality but relies more on standardized and less contextually embedded visuals. Overall, the findings indicate moderate similarity in physical presentation quality, with </w:t>
      </w:r>
      <w:r w:rsidRPr="004B153A">
        <w:rPr>
          <w:rFonts w:asciiTheme="majorBidi" w:hAnsiTheme="majorBidi" w:cstheme="majorBidi"/>
          <w:i/>
          <w:iCs/>
          <w:sz w:val="24"/>
          <w:szCs w:val="24"/>
          <w:lang w:val="en-US"/>
        </w:rPr>
        <w:t>Prospect 3</w:t>
      </w:r>
      <w:r w:rsidRPr="004B153A">
        <w:rPr>
          <w:rFonts w:asciiTheme="majorBidi" w:hAnsiTheme="majorBidi" w:cstheme="majorBidi"/>
          <w:sz w:val="24"/>
          <w:szCs w:val="24"/>
          <w:lang w:val="en-US"/>
        </w:rPr>
        <w:t xml:space="preserve"> showing a relative advantage.</w:t>
      </w:r>
    </w:p>
    <w:p w14:paraId="56B29C7C" w14:textId="3EE51879" w:rsidR="004B153A" w:rsidRPr="004B153A" w:rsidRDefault="00724E74" w:rsidP="00724E74">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b/>
      </w:r>
      <w:r w:rsidR="004B153A" w:rsidRPr="004B153A">
        <w:rPr>
          <w:rFonts w:asciiTheme="majorBidi" w:hAnsiTheme="majorBidi" w:cstheme="majorBidi"/>
          <w:sz w:val="24"/>
          <w:szCs w:val="24"/>
          <w:lang w:val="en-US"/>
        </w:rPr>
        <w:t xml:space="preserve">The second research question focused on similarities and differences between the two textbook series in terms of language skills and components. The quantitative findings reveal a clear distinction between the two series. </w:t>
      </w:r>
      <w:r w:rsidR="004B153A" w:rsidRPr="004B153A">
        <w:rPr>
          <w:rFonts w:asciiTheme="majorBidi" w:hAnsiTheme="majorBidi" w:cstheme="majorBidi"/>
          <w:i/>
          <w:iCs/>
          <w:sz w:val="24"/>
          <w:szCs w:val="24"/>
          <w:lang w:val="en-US"/>
        </w:rPr>
        <w:t>Prospect 3</w:t>
      </w:r>
      <w:r w:rsidR="004B153A" w:rsidRPr="004B153A">
        <w:rPr>
          <w:rFonts w:asciiTheme="majorBidi" w:hAnsiTheme="majorBidi" w:cstheme="majorBidi"/>
          <w:sz w:val="24"/>
          <w:szCs w:val="24"/>
          <w:lang w:val="en-US"/>
        </w:rPr>
        <w:t xml:space="preserve"> achieved a high mean score of 2.90 (96.7%) in the skills integration dimension, whereas </w:t>
      </w:r>
      <w:r w:rsidR="004B153A" w:rsidRPr="004B153A">
        <w:rPr>
          <w:rFonts w:asciiTheme="majorBidi" w:hAnsiTheme="majorBidi" w:cstheme="majorBidi"/>
          <w:i/>
          <w:iCs/>
          <w:sz w:val="24"/>
          <w:szCs w:val="24"/>
          <w:lang w:val="en-US"/>
        </w:rPr>
        <w:t>English for Iraq</w:t>
      </w:r>
      <w:r w:rsidR="004B153A" w:rsidRPr="004B153A">
        <w:rPr>
          <w:rFonts w:asciiTheme="majorBidi" w:hAnsiTheme="majorBidi" w:cstheme="majorBidi"/>
          <w:sz w:val="24"/>
          <w:szCs w:val="24"/>
          <w:lang w:val="en-US"/>
        </w:rPr>
        <w:t xml:space="preserve"> obtained a mean score of 2.40 (80.0%).</w:t>
      </w:r>
      <w:r>
        <w:rPr>
          <w:rFonts w:asciiTheme="majorBidi" w:hAnsiTheme="majorBidi" w:cstheme="majorBidi"/>
          <w:sz w:val="24"/>
          <w:szCs w:val="24"/>
          <w:lang w:val="en-US"/>
        </w:rPr>
        <w:t xml:space="preserve"> </w:t>
      </w:r>
      <w:r w:rsidR="004B153A" w:rsidRPr="004B153A">
        <w:rPr>
          <w:rFonts w:asciiTheme="majorBidi" w:hAnsiTheme="majorBidi" w:cstheme="majorBidi"/>
          <w:sz w:val="24"/>
          <w:szCs w:val="24"/>
          <w:lang w:val="en-US"/>
        </w:rPr>
        <w:t xml:space="preserve">These results indicate that </w:t>
      </w:r>
      <w:r w:rsidR="004B153A" w:rsidRPr="004B153A">
        <w:rPr>
          <w:rFonts w:asciiTheme="majorBidi" w:hAnsiTheme="majorBidi" w:cstheme="majorBidi"/>
          <w:i/>
          <w:iCs/>
          <w:sz w:val="24"/>
          <w:szCs w:val="24"/>
          <w:lang w:val="en-US"/>
        </w:rPr>
        <w:t>Prospect 3</w:t>
      </w:r>
      <w:r w:rsidR="004B153A" w:rsidRPr="004B153A">
        <w:rPr>
          <w:rFonts w:asciiTheme="majorBidi" w:hAnsiTheme="majorBidi" w:cstheme="majorBidi"/>
          <w:sz w:val="24"/>
          <w:szCs w:val="24"/>
          <w:lang w:val="en-US"/>
        </w:rPr>
        <w:t xml:space="preserve"> places a stronger emphasis on the integration of the four language skills, particularly listening and speaking, through communicative and interactive activities. Skills are presented in an integrated manner within thematic units. In contrast, </w:t>
      </w:r>
      <w:r w:rsidR="004B153A" w:rsidRPr="004B153A">
        <w:rPr>
          <w:rFonts w:asciiTheme="majorBidi" w:hAnsiTheme="majorBidi" w:cstheme="majorBidi"/>
          <w:i/>
          <w:iCs/>
          <w:sz w:val="24"/>
          <w:szCs w:val="24"/>
          <w:lang w:val="en-US"/>
        </w:rPr>
        <w:t>English for Iraq</w:t>
      </w:r>
      <w:r w:rsidR="004B153A" w:rsidRPr="004B153A">
        <w:rPr>
          <w:rFonts w:asciiTheme="majorBidi" w:hAnsiTheme="majorBidi" w:cstheme="majorBidi"/>
          <w:sz w:val="24"/>
          <w:szCs w:val="24"/>
          <w:lang w:val="en-US"/>
        </w:rPr>
        <w:t xml:space="preserve"> demonstrates a more compartmentalized approach, with greater emphasis on grammar and reading components and limited opportunities for oral communication. Thus, the findings show a notable difference in how language skills and components are prioritized and operationalized in the two textbook series.</w:t>
      </w:r>
    </w:p>
    <w:p w14:paraId="7F612728" w14:textId="00098428" w:rsidR="004B153A" w:rsidRPr="004B153A" w:rsidRDefault="00724E74" w:rsidP="00724E74">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lastRenderedPageBreak/>
        <w:tab/>
      </w:r>
      <w:r w:rsidR="004B153A" w:rsidRPr="004B153A">
        <w:rPr>
          <w:rFonts w:asciiTheme="majorBidi" w:hAnsiTheme="majorBidi" w:cstheme="majorBidi"/>
          <w:sz w:val="24"/>
          <w:szCs w:val="24"/>
          <w:lang w:val="en-US"/>
        </w:rPr>
        <w:t xml:space="preserve">The third research question addressed the extent to which the two textbook series differ in syllabus design. Quantitative analysis of checklist dimensions related to objectives, content organization, and language progression indicates that </w:t>
      </w:r>
      <w:r w:rsidR="004B153A" w:rsidRPr="004B153A">
        <w:rPr>
          <w:rFonts w:asciiTheme="majorBidi" w:hAnsiTheme="majorBidi" w:cstheme="majorBidi"/>
          <w:i/>
          <w:iCs/>
          <w:sz w:val="24"/>
          <w:szCs w:val="24"/>
          <w:lang w:val="en-US"/>
        </w:rPr>
        <w:t>Prospect 3</w:t>
      </w:r>
      <w:r w:rsidR="004B153A" w:rsidRPr="004B153A">
        <w:rPr>
          <w:rFonts w:asciiTheme="majorBidi" w:hAnsiTheme="majorBidi" w:cstheme="majorBidi"/>
          <w:sz w:val="24"/>
          <w:szCs w:val="24"/>
          <w:lang w:val="en-US"/>
        </w:rPr>
        <w:t xml:space="preserve"> follows a more cohesive and spiral syllabus model. This is reflected in its higher overall performance across dimensions related to objectives (mean = 2.90; 96.7%) and language type and level (mean = 2.70; 90.0%).</w:t>
      </w:r>
      <w:r>
        <w:rPr>
          <w:rFonts w:asciiTheme="majorBidi" w:hAnsiTheme="majorBidi" w:cstheme="majorBidi"/>
          <w:sz w:val="24"/>
          <w:szCs w:val="24"/>
          <w:lang w:val="en-US"/>
        </w:rPr>
        <w:t xml:space="preserve"> </w:t>
      </w:r>
      <w:r w:rsidR="004B153A" w:rsidRPr="004B153A">
        <w:rPr>
          <w:rFonts w:asciiTheme="majorBidi" w:hAnsiTheme="majorBidi" w:cstheme="majorBidi"/>
          <w:sz w:val="24"/>
          <w:szCs w:val="24"/>
          <w:lang w:val="en-US"/>
        </w:rPr>
        <w:t xml:space="preserve">In comparison, </w:t>
      </w:r>
      <w:r w:rsidR="004B153A" w:rsidRPr="004B153A">
        <w:rPr>
          <w:rFonts w:asciiTheme="majorBidi" w:hAnsiTheme="majorBidi" w:cstheme="majorBidi"/>
          <w:i/>
          <w:iCs/>
          <w:sz w:val="24"/>
          <w:szCs w:val="24"/>
          <w:lang w:val="en-US"/>
        </w:rPr>
        <w:t>English for Iraq</w:t>
      </w:r>
      <w:r w:rsidR="004B153A" w:rsidRPr="004B153A">
        <w:rPr>
          <w:rFonts w:asciiTheme="majorBidi" w:hAnsiTheme="majorBidi" w:cstheme="majorBidi"/>
          <w:sz w:val="24"/>
          <w:szCs w:val="24"/>
          <w:lang w:val="en-US"/>
        </w:rPr>
        <w:t xml:space="preserve"> obtained lower mean scores in these areas, particularly in objectives (mean = 2.40; 80.0%), suggesting a more linear and structurally oriented syllabus. The results indicate that </w:t>
      </w:r>
      <w:r w:rsidR="004B153A" w:rsidRPr="004B153A">
        <w:rPr>
          <w:rFonts w:asciiTheme="majorBidi" w:hAnsiTheme="majorBidi" w:cstheme="majorBidi"/>
          <w:i/>
          <w:iCs/>
          <w:sz w:val="24"/>
          <w:szCs w:val="24"/>
          <w:lang w:val="en-US"/>
        </w:rPr>
        <w:t>Prospect 3</w:t>
      </w:r>
      <w:r w:rsidR="004B153A" w:rsidRPr="004B153A">
        <w:rPr>
          <w:rFonts w:asciiTheme="majorBidi" w:hAnsiTheme="majorBidi" w:cstheme="majorBidi"/>
          <w:sz w:val="24"/>
          <w:szCs w:val="24"/>
          <w:lang w:val="en-US"/>
        </w:rPr>
        <w:t xml:space="preserve"> systematically recycles language items and aligns syllabus progression with communicative objectives, whereas </w:t>
      </w:r>
      <w:r w:rsidR="004B153A" w:rsidRPr="004B153A">
        <w:rPr>
          <w:rFonts w:asciiTheme="majorBidi" w:hAnsiTheme="majorBidi" w:cstheme="majorBidi"/>
          <w:i/>
          <w:iCs/>
          <w:sz w:val="24"/>
          <w:szCs w:val="24"/>
          <w:lang w:val="en-US"/>
        </w:rPr>
        <w:t>English for Iraq</w:t>
      </w:r>
      <w:r w:rsidR="004B153A" w:rsidRPr="004B153A">
        <w:rPr>
          <w:rFonts w:asciiTheme="majorBidi" w:hAnsiTheme="majorBidi" w:cstheme="majorBidi"/>
          <w:sz w:val="24"/>
          <w:szCs w:val="24"/>
          <w:lang w:val="en-US"/>
        </w:rPr>
        <w:t xml:space="preserve"> adopts a more traditional progression model with limited recycling of language structures. These findings demonstrate a clear difference in syllabus design approaches between the two textbook series.</w:t>
      </w:r>
    </w:p>
    <w:p w14:paraId="5171A856" w14:textId="70C9AEE5" w:rsidR="004B153A" w:rsidRPr="004B153A" w:rsidRDefault="00724E74" w:rsidP="00724E74">
      <w:pPr>
        <w:spacing w:line="480" w:lineRule="auto"/>
        <w:rPr>
          <w:rFonts w:asciiTheme="majorBidi" w:hAnsiTheme="majorBidi" w:cstheme="majorBidi"/>
          <w:sz w:val="24"/>
          <w:szCs w:val="24"/>
          <w:lang w:val="en-US"/>
        </w:rPr>
      </w:pPr>
      <w:r>
        <w:rPr>
          <w:rFonts w:asciiTheme="majorBidi" w:hAnsiTheme="majorBidi" w:cstheme="majorBidi"/>
          <w:sz w:val="24"/>
          <w:szCs w:val="24"/>
          <w:lang w:val="en-US"/>
        </w:rPr>
        <w:tab/>
      </w:r>
      <w:r w:rsidR="004B153A" w:rsidRPr="004B153A">
        <w:rPr>
          <w:rFonts w:asciiTheme="majorBidi" w:hAnsiTheme="majorBidi" w:cstheme="majorBidi"/>
          <w:sz w:val="24"/>
          <w:szCs w:val="24"/>
          <w:lang w:val="en-US"/>
        </w:rPr>
        <w:t xml:space="preserve">The fourth research question examined similarities and differences in cultural representation between </w:t>
      </w:r>
      <w:r w:rsidR="004B153A" w:rsidRPr="004B153A">
        <w:rPr>
          <w:rFonts w:asciiTheme="majorBidi" w:hAnsiTheme="majorBidi" w:cstheme="majorBidi"/>
          <w:i/>
          <w:iCs/>
          <w:sz w:val="24"/>
          <w:szCs w:val="24"/>
          <w:lang w:val="en-US"/>
        </w:rPr>
        <w:t>English for Iraq</w:t>
      </w:r>
      <w:r w:rsidR="004B153A" w:rsidRPr="004B153A">
        <w:rPr>
          <w:rFonts w:asciiTheme="majorBidi" w:hAnsiTheme="majorBidi" w:cstheme="majorBidi"/>
          <w:sz w:val="24"/>
          <w:szCs w:val="24"/>
          <w:lang w:val="en-US"/>
        </w:rPr>
        <w:t xml:space="preserve"> and </w:t>
      </w:r>
      <w:r w:rsidR="004B153A" w:rsidRPr="004B153A">
        <w:rPr>
          <w:rFonts w:asciiTheme="majorBidi" w:hAnsiTheme="majorBidi" w:cstheme="majorBidi"/>
          <w:i/>
          <w:iCs/>
          <w:sz w:val="24"/>
          <w:szCs w:val="24"/>
          <w:lang w:val="en-US"/>
        </w:rPr>
        <w:t>Prospect</w:t>
      </w:r>
      <w:r w:rsidR="004B153A" w:rsidRPr="004B153A">
        <w:rPr>
          <w:rFonts w:asciiTheme="majorBidi" w:hAnsiTheme="majorBidi" w:cstheme="majorBidi"/>
          <w:sz w:val="24"/>
          <w:szCs w:val="24"/>
          <w:lang w:val="en-US"/>
        </w:rPr>
        <w:t xml:space="preserve">. The quantitative findings show that </w:t>
      </w:r>
      <w:r w:rsidR="004B153A" w:rsidRPr="004B153A">
        <w:rPr>
          <w:rFonts w:asciiTheme="majorBidi" w:hAnsiTheme="majorBidi" w:cstheme="majorBidi"/>
          <w:i/>
          <w:iCs/>
          <w:sz w:val="24"/>
          <w:szCs w:val="24"/>
          <w:lang w:val="en-US"/>
        </w:rPr>
        <w:t>Prospect 3</w:t>
      </w:r>
      <w:r w:rsidR="004B153A" w:rsidRPr="004B153A">
        <w:rPr>
          <w:rFonts w:asciiTheme="majorBidi" w:hAnsiTheme="majorBidi" w:cstheme="majorBidi"/>
          <w:sz w:val="24"/>
          <w:szCs w:val="24"/>
          <w:lang w:val="en-US"/>
        </w:rPr>
        <w:t xml:space="preserve"> achieved a substantially higher mean score in the cultural representation and intercultural communicative competence (ICC) dimension (2.90; 96.7%) compared to </w:t>
      </w:r>
      <w:r w:rsidR="004B153A" w:rsidRPr="004B153A">
        <w:rPr>
          <w:rFonts w:asciiTheme="majorBidi" w:hAnsiTheme="majorBidi" w:cstheme="majorBidi"/>
          <w:i/>
          <w:iCs/>
          <w:sz w:val="24"/>
          <w:szCs w:val="24"/>
          <w:lang w:val="en-US"/>
        </w:rPr>
        <w:t>English for Iraq</w:t>
      </w:r>
      <w:r w:rsidR="004B153A" w:rsidRPr="004B153A">
        <w:rPr>
          <w:rFonts w:asciiTheme="majorBidi" w:hAnsiTheme="majorBidi" w:cstheme="majorBidi"/>
          <w:sz w:val="24"/>
          <w:szCs w:val="24"/>
          <w:lang w:val="en-US"/>
        </w:rPr>
        <w:t xml:space="preserve"> (2.40; 80.0%).</w:t>
      </w:r>
      <w:r>
        <w:rPr>
          <w:rFonts w:asciiTheme="majorBidi" w:hAnsiTheme="majorBidi" w:cstheme="majorBidi"/>
          <w:sz w:val="24"/>
          <w:szCs w:val="24"/>
          <w:lang w:val="en-US"/>
        </w:rPr>
        <w:t xml:space="preserve"> </w:t>
      </w:r>
      <w:r w:rsidR="004B153A" w:rsidRPr="004B153A">
        <w:rPr>
          <w:rFonts w:asciiTheme="majorBidi" w:hAnsiTheme="majorBidi" w:cstheme="majorBidi"/>
          <w:sz w:val="24"/>
          <w:szCs w:val="24"/>
          <w:lang w:val="en-US"/>
        </w:rPr>
        <w:t xml:space="preserve">These results indicate that </w:t>
      </w:r>
      <w:r w:rsidR="004B153A" w:rsidRPr="004B153A">
        <w:rPr>
          <w:rFonts w:asciiTheme="majorBidi" w:hAnsiTheme="majorBidi" w:cstheme="majorBidi"/>
          <w:i/>
          <w:iCs/>
          <w:sz w:val="24"/>
          <w:szCs w:val="24"/>
          <w:lang w:val="en-US"/>
        </w:rPr>
        <w:t>Prospect 3</w:t>
      </w:r>
      <w:r w:rsidR="004B153A" w:rsidRPr="004B153A">
        <w:rPr>
          <w:rFonts w:asciiTheme="majorBidi" w:hAnsiTheme="majorBidi" w:cstheme="majorBidi"/>
          <w:sz w:val="24"/>
          <w:szCs w:val="24"/>
          <w:lang w:val="en-US"/>
        </w:rPr>
        <w:t xml:space="preserve"> integrates cultural content more deeply and systematically, embedding national, religious, and social values throughout its themes, visuals, and activities. Cultural representation in </w:t>
      </w:r>
      <w:r w:rsidR="004B153A" w:rsidRPr="004B153A">
        <w:rPr>
          <w:rFonts w:asciiTheme="majorBidi" w:hAnsiTheme="majorBidi" w:cstheme="majorBidi"/>
          <w:i/>
          <w:iCs/>
          <w:sz w:val="24"/>
          <w:szCs w:val="24"/>
          <w:lang w:val="en-US"/>
        </w:rPr>
        <w:t>Prospect 3</w:t>
      </w:r>
      <w:r w:rsidR="004B153A" w:rsidRPr="004B153A">
        <w:rPr>
          <w:rFonts w:asciiTheme="majorBidi" w:hAnsiTheme="majorBidi" w:cstheme="majorBidi"/>
          <w:sz w:val="24"/>
          <w:szCs w:val="24"/>
          <w:lang w:val="en-US"/>
        </w:rPr>
        <w:t xml:space="preserve"> is closely aligned with national identity and curriculum goals. In contrast, </w:t>
      </w:r>
      <w:r w:rsidR="004B153A" w:rsidRPr="004B153A">
        <w:rPr>
          <w:rFonts w:asciiTheme="majorBidi" w:hAnsiTheme="majorBidi" w:cstheme="majorBidi"/>
          <w:i/>
          <w:iCs/>
          <w:sz w:val="24"/>
          <w:szCs w:val="24"/>
          <w:lang w:val="en-US"/>
        </w:rPr>
        <w:t>English for Iraq</w:t>
      </w:r>
      <w:r w:rsidR="004B153A" w:rsidRPr="004B153A">
        <w:rPr>
          <w:rFonts w:asciiTheme="majorBidi" w:hAnsiTheme="majorBidi" w:cstheme="majorBidi"/>
          <w:sz w:val="24"/>
          <w:szCs w:val="24"/>
          <w:lang w:val="en-US"/>
        </w:rPr>
        <w:t xml:space="preserve"> primarily presents cultural content at a surface level, focusing on familiar local references with limited attention to intercultural awareness or critical cultural comparison. Overall, the findings suggest a significant difference in the depth and function of cultural representation in the two textbook series.</w:t>
      </w:r>
    </w:p>
    <w:p w14:paraId="5BA72181" w14:textId="35BD31C6" w:rsidR="00D433F0" w:rsidRDefault="00D433F0" w:rsidP="00D433F0">
      <w:pPr>
        <w:spacing w:line="480" w:lineRule="auto"/>
        <w:rPr>
          <w:rFonts w:asciiTheme="majorBidi" w:hAnsiTheme="majorBidi" w:cstheme="majorBidi"/>
          <w:sz w:val="24"/>
          <w:szCs w:val="24"/>
          <w:lang w:val="en-US"/>
        </w:rPr>
      </w:pPr>
    </w:p>
    <w:p w14:paraId="4DDB436A" w14:textId="6A91B4C3" w:rsidR="00FE07C2" w:rsidRDefault="00FE07C2" w:rsidP="008379AE">
      <w:pPr>
        <w:spacing w:line="480" w:lineRule="auto"/>
        <w:rPr>
          <w:rFonts w:asciiTheme="majorBidi" w:hAnsiTheme="majorBidi" w:cstheme="majorBidi"/>
          <w:sz w:val="24"/>
          <w:szCs w:val="24"/>
          <w:lang w:bidi="fa-IR"/>
        </w:rPr>
      </w:pPr>
    </w:p>
    <w:p w14:paraId="72D0988B" w14:textId="4779086D" w:rsidR="00724E74" w:rsidRDefault="00724E74" w:rsidP="008379AE">
      <w:pPr>
        <w:spacing w:line="480" w:lineRule="auto"/>
        <w:rPr>
          <w:rFonts w:asciiTheme="majorBidi" w:hAnsiTheme="majorBidi" w:cstheme="majorBidi"/>
          <w:sz w:val="24"/>
          <w:szCs w:val="24"/>
          <w:lang w:bidi="fa-IR"/>
        </w:rPr>
      </w:pPr>
    </w:p>
    <w:p w14:paraId="09452839" w14:textId="3D24D864" w:rsidR="00724E74" w:rsidRDefault="00724E74" w:rsidP="008379AE">
      <w:pPr>
        <w:spacing w:line="480" w:lineRule="auto"/>
        <w:rPr>
          <w:rFonts w:asciiTheme="majorBidi" w:hAnsiTheme="majorBidi" w:cstheme="majorBidi"/>
          <w:sz w:val="24"/>
          <w:szCs w:val="24"/>
          <w:lang w:bidi="fa-IR"/>
        </w:rPr>
      </w:pPr>
    </w:p>
    <w:p w14:paraId="498E4B52" w14:textId="72EC5E34" w:rsidR="00724E74" w:rsidRDefault="00724E74" w:rsidP="008379AE">
      <w:pPr>
        <w:spacing w:line="480" w:lineRule="auto"/>
        <w:rPr>
          <w:rFonts w:asciiTheme="majorBidi" w:hAnsiTheme="majorBidi" w:cstheme="majorBidi"/>
          <w:sz w:val="24"/>
          <w:szCs w:val="24"/>
          <w:lang w:bidi="fa-IR"/>
        </w:rPr>
      </w:pPr>
    </w:p>
    <w:p w14:paraId="70E6F3CA" w14:textId="672372CF" w:rsidR="00724E74" w:rsidRDefault="00724E74" w:rsidP="008379AE">
      <w:pPr>
        <w:spacing w:line="480" w:lineRule="auto"/>
        <w:rPr>
          <w:rFonts w:asciiTheme="majorBidi" w:hAnsiTheme="majorBidi" w:cstheme="majorBidi"/>
          <w:sz w:val="24"/>
          <w:szCs w:val="24"/>
          <w:lang w:bidi="fa-IR"/>
        </w:rPr>
      </w:pPr>
    </w:p>
    <w:p w14:paraId="55F854BA" w14:textId="32D74222" w:rsidR="00724E74" w:rsidRDefault="00724E74" w:rsidP="008379AE">
      <w:pPr>
        <w:spacing w:line="480" w:lineRule="auto"/>
        <w:rPr>
          <w:rFonts w:asciiTheme="majorBidi" w:hAnsiTheme="majorBidi" w:cstheme="majorBidi"/>
          <w:sz w:val="24"/>
          <w:szCs w:val="24"/>
          <w:lang w:bidi="fa-IR"/>
        </w:rPr>
      </w:pPr>
    </w:p>
    <w:p w14:paraId="0710CEAC" w14:textId="2AD5586E" w:rsidR="00724E74" w:rsidRDefault="00724E74" w:rsidP="008379AE">
      <w:pPr>
        <w:spacing w:line="480" w:lineRule="auto"/>
        <w:rPr>
          <w:rFonts w:asciiTheme="majorBidi" w:hAnsiTheme="majorBidi" w:cstheme="majorBidi"/>
          <w:sz w:val="24"/>
          <w:szCs w:val="24"/>
          <w:lang w:bidi="fa-IR"/>
        </w:rPr>
      </w:pPr>
    </w:p>
    <w:p w14:paraId="55AE336D" w14:textId="16F7B0AC" w:rsidR="00724E74" w:rsidRDefault="00724E74" w:rsidP="008379AE">
      <w:pPr>
        <w:spacing w:line="480" w:lineRule="auto"/>
        <w:rPr>
          <w:rFonts w:asciiTheme="majorBidi" w:hAnsiTheme="majorBidi" w:cstheme="majorBidi"/>
          <w:sz w:val="24"/>
          <w:szCs w:val="24"/>
          <w:lang w:bidi="fa-IR"/>
        </w:rPr>
      </w:pPr>
    </w:p>
    <w:p w14:paraId="37416251" w14:textId="77777777" w:rsidR="00724E74" w:rsidRPr="0098127B" w:rsidRDefault="00724E74" w:rsidP="008379AE">
      <w:pPr>
        <w:spacing w:line="480" w:lineRule="auto"/>
        <w:rPr>
          <w:rFonts w:asciiTheme="majorBidi" w:hAnsiTheme="majorBidi" w:cstheme="majorBidi"/>
          <w:sz w:val="24"/>
          <w:szCs w:val="24"/>
          <w:lang w:bidi="fa-IR"/>
        </w:rPr>
      </w:pPr>
    </w:p>
    <w:p w14:paraId="39EB2E28" w14:textId="3907A556" w:rsidR="00FE07C2" w:rsidRPr="0098127B" w:rsidRDefault="008930DE" w:rsidP="00D433F0">
      <w:pPr>
        <w:spacing w:line="480" w:lineRule="auto"/>
        <w:jc w:val="center"/>
        <w:rPr>
          <w:rFonts w:asciiTheme="majorBidi" w:hAnsiTheme="majorBidi" w:cstheme="majorBidi"/>
          <w:sz w:val="24"/>
          <w:szCs w:val="24"/>
          <w:lang w:bidi="fa-IR"/>
        </w:rPr>
      </w:pPr>
      <w:r w:rsidRPr="0098127B">
        <w:rPr>
          <w:rFonts w:asciiTheme="majorBidi" w:hAnsiTheme="majorBidi" w:cstheme="majorBidi"/>
          <w:b/>
          <w:bCs/>
          <w:sz w:val="40"/>
          <w:szCs w:val="40"/>
          <w:lang w:bidi="fa-IR"/>
        </w:rPr>
        <w:t>Chapter Five</w:t>
      </w:r>
      <w:r w:rsidR="00D433F0">
        <w:rPr>
          <w:rFonts w:asciiTheme="majorBidi" w:hAnsiTheme="majorBidi" w:cstheme="majorBidi"/>
          <w:b/>
          <w:bCs/>
          <w:sz w:val="40"/>
          <w:szCs w:val="40"/>
          <w:lang w:bidi="fa-IR"/>
        </w:rPr>
        <w:t xml:space="preserve">: </w:t>
      </w:r>
      <w:r w:rsidR="00D433F0" w:rsidRPr="00D433F0">
        <w:rPr>
          <w:rFonts w:asciiTheme="majorBidi" w:hAnsiTheme="majorBidi" w:cstheme="majorBidi"/>
          <w:b/>
          <w:bCs/>
          <w:sz w:val="40"/>
          <w:szCs w:val="40"/>
          <w:lang w:bidi="fa-IR"/>
        </w:rPr>
        <w:t>Conclusion and Implications</w:t>
      </w:r>
    </w:p>
    <w:p w14:paraId="27EBB7D8" w14:textId="77777777" w:rsidR="00FE07C2" w:rsidRPr="0098127B" w:rsidRDefault="00FE07C2" w:rsidP="008379AE">
      <w:pPr>
        <w:spacing w:line="480" w:lineRule="auto"/>
        <w:rPr>
          <w:rFonts w:asciiTheme="majorBidi" w:hAnsiTheme="majorBidi" w:cstheme="majorBidi"/>
          <w:sz w:val="24"/>
          <w:szCs w:val="24"/>
          <w:lang w:bidi="fa-IR"/>
        </w:rPr>
      </w:pPr>
    </w:p>
    <w:p w14:paraId="14159CA3" w14:textId="77777777" w:rsidR="00FE07C2" w:rsidRPr="0098127B" w:rsidRDefault="00FE07C2" w:rsidP="008379AE">
      <w:pPr>
        <w:spacing w:line="480" w:lineRule="auto"/>
        <w:rPr>
          <w:rFonts w:asciiTheme="majorBidi" w:hAnsiTheme="majorBidi" w:cstheme="majorBidi"/>
          <w:sz w:val="24"/>
          <w:szCs w:val="24"/>
          <w:lang w:bidi="fa-IR"/>
        </w:rPr>
      </w:pPr>
    </w:p>
    <w:p w14:paraId="1AE5CD2D" w14:textId="77777777" w:rsidR="00FE07C2" w:rsidRPr="0098127B" w:rsidRDefault="00FE07C2" w:rsidP="008379AE">
      <w:pPr>
        <w:spacing w:line="480" w:lineRule="auto"/>
        <w:rPr>
          <w:rFonts w:asciiTheme="majorBidi" w:hAnsiTheme="majorBidi" w:cstheme="majorBidi"/>
          <w:sz w:val="24"/>
          <w:szCs w:val="24"/>
          <w:lang w:bidi="fa-IR"/>
        </w:rPr>
      </w:pPr>
    </w:p>
    <w:p w14:paraId="122A7FE4" w14:textId="77777777" w:rsidR="00FE07C2" w:rsidRPr="0098127B" w:rsidRDefault="00FE07C2" w:rsidP="008379AE">
      <w:pPr>
        <w:spacing w:line="480" w:lineRule="auto"/>
        <w:rPr>
          <w:rFonts w:asciiTheme="majorBidi" w:hAnsiTheme="majorBidi" w:cstheme="majorBidi"/>
          <w:sz w:val="24"/>
          <w:szCs w:val="24"/>
          <w:lang w:bidi="fa-IR"/>
        </w:rPr>
      </w:pPr>
    </w:p>
    <w:p w14:paraId="54BDD8CD" w14:textId="77777777" w:rsidR="00FE07C2" w:rsidRPr="0098127B" w:rsidRDefault="00FE07C2" w:rsidP="008379AE">
      <w:pPr>
        <w:spacing w:line="480" w:lineRule="auto"/>
        <w:rPr>
          <w:rFonts w:asciiTheme="majorBidi" w:hAnsiTheme="majorBidi" w:cstheme="majorBidi"/>
          <w:sz w:val="24"/>
          <w:szCs w:val="24"/>
          <w:lang w:bidi="fa-IR"/>
        </w:rPr>
      </w:pPr>
    </w:p>
    <w:p w14:paraId="4A283BDB" w14:textId="77777777" w:rsidR="00FE07C2" w:rsidRPr="0098127B" w:rsidRDefault="00FE07C2" w:rsidP="008379AE">
      <w:pPr>
        <w:spacing w:line="480" w:lineRule="auto"/>
        <w:rPr>
          <w:rFonts w:asciiTheme="majorBidi" w:hAnsiTheme="majorBidi" w:cstheme="majorBidi"/>
          <w:sz w:val="24"/>
          <w:szCs w:val="24"/>
          <w:lang w:bidi="fa-IR"/>
        </w:rPr>
      </w:pPr>
    </w:p>
    <w:p w14:paraId="3587FDBA" w14:textId="0D776E25" w:rsidR="00FE07C2" w:rsidRDefault="00FE07C2" w:rsidP="008379AE">
      <w:pPr>
        <w:spacing w:line="480" w:lineRule="auto"/>
        <w:rPr>
          <w:rFonts w:asciiTheme="majorBidi" w:hAnsiTheme="majorBidi" w:cstheme="majorBidi"/>
          <w:sz w:val="24"/>
          <w:szCs w:val="24"/>
          <w:lang w:bidi="fa-IR"/>
        </w:rPr>
      </w:pPr>
    </w:p>
    <w:p w14:paraId="39C93B70" w14:textId="77777777" w:rsidR="00D433F0" w:rsidRPr="0098127B" w:rsidRDefault="00D433F0" w:rsidP="008379AE">
      <w:pPr>
        <w:spacing w:line="480" w:lineRule="auto"/>
        <w:rPr>
          <w:rFonts w:asciiTheme="majorBidi" w:hAnsiTheme="majorBidi" w:cstheme="majorBidi"/>
          <w:sz w:val="24"/>
          <w:szCs w:val="24"/>
          <w:lang w:bidi="fa-IR"/>
        </w:rPr>
      </w:pPr>
    </w:p>
    <w:p w14:paraId="3234C71D" w14:textId="77777777" w:rsidR="00FE07C2" w:rsidRPr="0098127B" w:rsidRDefault="00FE07C2" w:rsidP="008379AE">
      <w:pPr>
        <w:spacing w:line="480" w:lineRule="auto"/>
        <w:rPr>
          <w:rFonts w:asciiTheme="majorBidi" w:hAnsiTheme="majorBidi" w:cstheme="majorBidi"/>
          <w:sz w:val="24"/>
          <w:szCs w:val="24"/>
          <w:lang w:bidi="fa-IR"/>
        </w:rPr>
      </w:pPr>
    </w:p>
    <w:p w14:paraId="08E76220" w14:textId="3D1D9047" w:rsidR="008930DE" w:rsidRPr="0098127B" w:rsidRDefault="008930DE" w:rsidP="008379AE">
      <w:pPr>
        <w:spacing w:line="480" w:lineRule="auto"/>
        <w:rPr>
          <w:rFonts w:asciiTheme="majorBidi" w:hAnsiTheme="majorBidi" w:cstheme="majorBidi"/>
          <w:b/>
          <w:bCs/>
          <w:sz w:val="24"/>
          <w:szCs w:val="24"/>
          <w:lang w:bidi="fa-IR"/>
        </w:rPr>
      </w:pPr>
      <w:r w:rsidRPr="0098127B">
        <w:rPr>
          <w:rFonts w:asciiTheme="majorBidi" w:hAnsiTheme="majorBidi" w:cstheme="majorBidi"/>
          <w:b/>
          <w:bCs/>
          <w:sz w:val="24"/>
          <w:szCs w:val="24"/>
          <w:lang w:bidi="fa-IR"/>
        </w:rPr>
        <w:lastRenderedPageBreak/>
        <w:t>5.1 Introduction</w:t>
      </w:r>
    </w:p>
    <w:p w14:paraId="73E37498" w14:textId="17D8D6AF" w:rsidR="004E44E9" w:rsidRDefault="00FE07C2" w:rsidP="004E44E9">
      <w:pPr>
        <w:spacing w:line="480" w:lineRule="auto"/>
        <w:rPr>
          <w:rFonts w:asciiTheme="majorBidi" w:hAnsiTheme="majorBidi" w:cstheme="majorBidi"/>
          <w:sz w:val="24"/>
          <w:szCs w:val="24"/>
          <w:lang w:bidi="fa-IR"/>
        </w:rPr>
      </w:pPr>
      <w:r w:rsidRPr="00FE07C2">
        <w:rPr>
          <w:rFonts w:asciiTheme="majorBidi" w:hAnsiTheme="majorBidi" w:cstheme="majorBidi"/>
          <w:sz w:val="24"/>
          <w:szCs w:val="24"/>
          <w:lang w:bidi="fa-IR"/>
        </w:rPr>
        <w:t>This chapter includes an introduction that summarizes the purpose and structure of the final chapter, followed by a discussion that interprets the study’s findings in relation to existing literature. The conclusion restates the main results and their significance. The pedagogical implications highlight how the findings can inform teaching practices, curriculum development, and material design. Finally, suggestions for future studies offer directions for further research based on the study’s limitations and uncovered gaps.</w:t>
      </w:r>
    </w:p>
    <w:p w14:paraId="3C115BB1" w14:textId="501A3CF0" w:rsidR="004E44E9" w:rsidRDefault="004E44E9" w:rsidP="004E44E9">
      <w:pPr>
        <w:spacing w:line="480" w:lineRule="auto"/>
        <w:rPr>
          <w:rFonts w:asciiTheme="majorBidi" w:hAnsiTheme="majorBidi" w:cstheme="majorBidi"/>
          <w:b/>
          <w:bCs/>
          <w:sz w:val="24"/>
          <w:szCs w:val="24"/>
          <w:lang w:bidi="fa-IR"/>
        </w:rPr>
      </w:pPr>
      <w:r w:rsidRPr="004E44E9">
        <w:rPr>
          <w:rFonts w:asciiTheme="majorBidi" w:hAnsiTheme="majorBidi" w:cstheme="majorBidi"/>
          <w:b/>
          <w:bCs/>
          <w:sz w:val="24"/>
          <w:szCs w:val="24"/>
          <w:lang w:bidi="fa-IR"/>
        </w:rPr>
        <w:t>5.2 Restatement of the Problem</w:t>
      </w:r>
    </w:p>
    <w:p w14:paraId="0E7DC479" w14:textId="77777777" w:rsidR="004E44E9" w:rsidRPr="004E44E9" w:rsidRDefault="004E44E9" w:rsidP="004E44E9">
      <w:pPr>
        <w:spacing w:line="480" w:lineRule="auto"/>
        <w:rPr>
          <w:rFonts w:asciiTheme="majorBidi" w:hAnsiTheme="majorBidi" w:cstheme="majorBidi"/>
          <w:sz w:val="24"/>
          <w:szCs w:val="24"/>
          <w:lang w:bidi="fa-IR"/>
        </w:rPr>
      </w:pPr>
      <w:r w:rsidRPr="004E44E9">
        <w:rPr>
          <w:rFonts w:asciiTheme="majorBidi" w:hAnsiTheme="majorBidi" w:cstheme="majorBidi"/>
          <w:sz w:val="24"/>
          <w:szCs w:val="24"/>
          <w:lang w:bidi="fa-IR"/>
        </w:rPr>
        <w:t xml:space="preserve">Despite ongoing curriculum reforms in both Iraq and Iran, English language textbooks continue to serve as the primary medium through which national educational objectives and pedagogical priorities are implemented in secondary schools. In contexts where classroom resources are limited and instruction is highly exam-oriented, textbooks function not only as instructional tools but also as de facto curricula that shape teaching practices, learner experiences, and cultural exposure. Although the </w:t>
      </w:r>
      <w:r w:rsidRPr="004E44E9">
        <w:rPr>
          <w:rFonts w:asciiTheme="majorBidi" w:hAnsiTheme="majorBidi" w:cstheme="majorBidi"/>
          <w:i/>
          <w:iCs/>
          <w:sz w:val="24"/>
          <w:szCs w:val="24"/>
          <w:lang w:bidi="fa-IR"/>
        </w:rPr>
        <w:t>English for Iraq</w:t>
      </w:r>
      <w:r w:rsidRPr="004E44E9">
        <w:rPr>
          <w:rFonts w:asciiTheme="majorBidi" w:hAnsiTheme="majorBidi" w:cstheme="majorBidi"/>
          <w:sz w:val="24"/>
          <w:szCs w:val="24"/>
          <w:lang w:bidi="fa-IR"/>
        </w:rPr>
        <w:t xml:space="preserve"> and </w:t>
      </w:r>
      <w:r w:rsidRPr="004E44E9">
        <w:rPr>
          <w:rFonts w:asciiTheme="majorBidi" w:hAnsiTheme="majorBidi" w:cstheme="majorBidi"/>
          <w:i/>
          <w:iCs/>
          <w:sz w:val="24"/>
          <w:szCs w:val="24"/>
          <w:lang w:bidi="fa-IR"/>
        </w:rPr>
        <w:t>Prospect</w:t>
      </w:r>
      <w:r w:rsidRPr="004E44E9">
        <w:rPr>
          <w:rFonts w:asciiTheme="majorBidi" w:hAnsiTheme="majorBidi" w:cstheme="majorBidi"/>
          <w:sz w:val="24"/>
          <w:szCs w:val="24"/>
          <w:lang w:bidi="fa-IR"/>
        </w:rPr>
        <w:t xml:space="preserve"> textbook series were developed under distinct reform agendas, there remains limited empirical evidence regarding how effectively these materials reflect modern communicative principles, integrate language skills, and align with their respective national curriculum goals.</w:t>
      </w:r>
    </w:p>
    <w:p w14:paraId="452FFF20" w14:textId="367EDAE3" w:rsidR="004E44E9" w:rsidRPr="004E44E9" w:rsidRDefault="004E44E9" w:rsidP="004E44E9">
      <w:pPr>
        <w:spacing w:line="480" w:lineRule="auto"/>
        <w:ind w:firstLine="720"/>
        <w:rPr>
          <w:rFonts w:asciiTheme="majorBidi" w:hAnsiTheme="majorBidi" w:cstheme="majorBidi"/>
          <w:sz w:val="24"/>
          <w:szCs w:val="24"/>
          <w:lang w:bidi="fa-IR"/>
        </w:rPr>
      </w:pPr>
      <w:r w:rsidRPr="004E44E9">
        <w:rPr>
          <w:rFonts w:asciiTheme="majorBidi" w:hAnsiTheme="majorBidi" w:cstheme="majorBidi"/>
          <w:sz w:val="24"/>
          <w:szCs w:val="24"/>
          <w:lang w:bidi="fa-IR"/>
        </w:rPr>
        <w:t xml:space="preserve">Furthermore, existing textbook evaluation studies have largely examined these series in isolation or employed different analytical frameworks, making systematic comparison difficult. The absence of cross-national studies using a unified evaluation framework has created a gap in understanding how national ideologies, syllabus design, and cultural representations are embedded within ELT materials at the secondary level. Addressing this gap requires a comparative, quantitatively grounded analysis that evaluates both textbook series using the same criteria. Therefore, this study seeks to provide a structured comparison </w:t>
      </w:r>
      <w:r w:rsidRPr="004E44E9">
        <w:rPr>
          <w:rFonts w:asciiTheme="majorBidi" w:hAnsiTheme="majorBidi" w:cstheme="majorBidi"/>
          <w:sz w:val="24"/>
          <w:szCs w:val="24"/>
          <w:lang w:bidi="fa-IR"/>
        </w:rPr>
        <w:lastRenderedPageBreak/>
        <w:t xml:space="preserve">of </w:t>
      </w:r>
      <w:r w:rsidRPr="004E44E9">
        <w:rPr>
          <w:rFonts w:asciiTheme="majorBidi" w:hAnsiTheme="majorBidi" w:cstheme="majorBidi"/>
          <w:i/>
          <w:iCs/>
          <w:sz w:val="24"/>
          <w:szCs w:val="24"/>
          <w:lang w:bidi="fa-IR"/>
        </w:rPr>
        <w:t>English for Iraq</w:t>
      </w:r>
      <w:r w:rsidRPr="004E44E9">
        <w:rPr>
          <w:rFonts w:asciiTheme="majorBidi" w:hAnsiTheme="majorBidi" w:cstheme="majorBidi"/>
          <w:sz w:val="24"/>
          <w:szCs w:val="24"/>
          <w:lang w:bidi="fa-IR"/>
        </w:rPr>
        <w:t xml:space="preserve"> and </w:t>
      </w:r>
      <w:r w:rsidRPr="004E44E9">
        <w:rPr>
          <w:rFonts w:asciiTheme="majorBidi" w:hAnsiTheme="majorBidi" w:cstheme="majorBidi"/>
          <w:i/>
          <w:iCs/>
          <w:sz w:val="24"/>
          <w:szCs w:val="24"/>
          <w:lang w:bidi="fa-IR"/>
        </w:rPr>
        <w:t>Prospect</w:t>
      </w:r>
      <w:r w:rsidRPr="004E44E9">
        <w:rPr>
          <w:rFonts w:asciiTheme="majorBidi" w:hAnsiTheme="majorBidi" w:cstheme="majorBidi"/>
          <w:sz w:val="24"/>
          <w:szCs w:val="24"/>
          <w:lang w:bidi="fa-IR"/>
        </w:rPr>
        <w:t xml:space="preserve"> in order to inform curriculum development, textbook revision, and policy decisions in both educational contexts.</w:t>
      </w:r>
    </w:p>
    <w:p w14:paraId="3E5FDB10" w14:textId="1F9A0CA2" w:rsidR="008930DE" w:rsidRPr="0098127B" w:rsidRDefault="008930DE" w:rsidP="008379AE">
      <w:pPr>
        <w:spacing w:line="480" w:lineRule="auto"/>
        <w:rPr>
          <w:rFonts w:asciiTheme="majorBidi" w:hAnsiTheme="majorBidi" w:cstheme="majorBidi"/>
          <w:b/>
          <w:bCs/>
          <w:sz w:val="24"/>
          <w:szCs w:val="24"/>
          <w:lang w:bidi="fa-IR"/>
        </w:rPr>
      </w:pPr>
      <w:r w:rsidRPr="0098127B">
        <w:rPr>
          <w:rFonts w:asciiTheme="majorBidi" w:hAnsiTheme="majorBidi" w:cstheme="majorBidi"/>
          <w:b/>
          <w:bCs/>
          <w:sz w:val="24"/>
          <w:szCs w:val="24"/>
          <w:lang w:bidi="fa-IR"/>
        </w:rPr>
        <w:t>5.2 Discussion</w:t>
      </w:r>
    </w:p>
    <w:p w14:paraId="545383AD" w14:textId="2986761F" w:rsidR="00DA7511" w:rsidRDefault="00DA7511" w:rsidP="00DA7511">
      <w:pPr>
        <w:spacing w:line="480" w:lineRule="auto"/>
        <w:rPr>
          <w:rFonts w:asciiTheme="majorBidi" w:hAnsiTheme="majorBidi" w:cstheme="majorBidi"/>
          <w:sz w:val="24"/>
          <w:szCs w:val="24"/>
          <w:lang w:bidi="fa-IR"/>
        </w:rPr>
      </w:pPr>
      <w:r w:rsidRPr="00DA7511">
        <w:rPr>
          <w:rFonts w:asciiTheme="majorBidi" w:hAnsiTheme="majorBidi" w:cstheme="majorBidi"/>
          <w:sz w:val="24"/>
          <w:szCs w:val="24"/>
          <w:lang w:bidi="fa-IR"/>
        </w:rPr>
        <w:t xml:space="preserve">The findings of the present study reveal that while both textbook series meet acceptable quality standards overall, notable differences exist across key dimensions. </w:t>
      </w:r>
      <w:r w:rsidRPr="00DA7511">
        <w:rPr>
          <w:rFonts w:asciiTheme="majorBidi" w:hAnsiTheme="majorBidi" w:cstheme="majorBidi"/>
          <w:i/>
          <w:iCs/>
          <w:sz w:val="24"/>
          <w:szCs w:val="24"/>
          <w:lang w:bidi="fa-IR"/>
        </w:rPr>
        <w:t>Prospect</w:t>
      </w:r>
      <w:r w:rsidRPr="00DA7511">
        <w:rPr>
          <w:rFonts w:asciiTheme="majorBidi" w:hAnsiTheme="majorBidi" w:cstheme="majorBidi"/>
          <w:sz w:val="24"/>
          <w:szCs w:val="24"/>
          <w:lang w:bidi="fa-IR"/>
        </w:rPr>
        <w:t xml:space="preserve"> consistently achieved higher scores in areas such as skills integration, methodological orientation, clarity of objectives, and cultural representation, reflecting a stronger alignment with communicative and nationally grounded curriculum goals. In contrast, </w:t>
      </w:r>
      <w:r w:rsidRPr="00DA7511">
        <w:rPr>
          <w:rFonts w:asciiTheme="majorBidi" w:hAnsiTheme="majorBidi" w:cstheme="majorBidi"/>
          <w:i/>
          <w:iCs/>
          <w:sz w:val="24"/>
          <w:szCs w:val="24"/>
          <w:lang w:bidi="fa-IR"/>
        </w:rPr>
        <w:t>English for Iraq</w:t>
      </w:r>
      <w:r w:rsidRPr="00DA7511">
        <w:rPr>
          <w:rFonts w:asciiTheme="majorBidi" w:hAnsiTheme="majorBidi" w:cstheme="majorBidi"/>
          <w:sz w:val="24"/>
          <w:szCs w:val="24"/>
          <w:lang w:bidi="fa-IR"/>
        </w:rPr>
        <w:t xml:space="preserve"> demonstrated strengths in physical presentation and structural organization but showed comparatively lower performance in communicative skill integration and intercultural depth. These findings underscore the need for systematic, comparative evaluation of ELT materials using a unified framework, as such analyses provide valuable insights for curriculum revision, textbook development, and policy decision-making in both educational contexts.</w:t>
      </w:r>
    </w:p>
    <w:p w14:paraId="43DB89AC" w14:textId="57C8FB0A" w:rsidR="00654B8B" w:rsidRPr="00654B8B" w:rsidRDefault="00654B8B" w:rsidP="00DA7511">
      <w:pPr>
        <w:spacing w:line="480" w:lineRule="auto"/>
        <w:ind w:firstLine="720"/>
        <w:rPr>
          <w:rFonts w:asciiTheme="majorBidi" w:hAnsiTheme="majorBidi" w:cstheme="majorBidi"/>
          <w:sz w:val="24"/>
          <w:szCs w:val="24"/>
          <w:lang w:bidi="fa-IR"/>
        </w:rPr>
      </w:pPr>
      <w:r w:rsidRPr="00654B8B">
        <w:rPr>
          <w:rFonts w:asciiTheme="majorBidi" w:hAnsiTheme="majorBidi" w:cstheme="majorBidi"/>
          <w:sz w:val="24"/>
          <w:szCs w:val="24"/>
          <w:lang w:bidi="fa-IR"/>
        </w:rPr>
        <w:t xml:space="preserve">The first research question was aimed at finding out to what extent do the </w:t>
      </w:r>
      <w:r w:rsidRPr="00654B8B">
        <w:rPr>
          <w:rFonts w:asciiTheme="majorBidi" w:hAnsiTheme="majorBidi" w:cstheme="majorBidi"/>
          <w:i/>
          <w:iCs/>
          <w:sz w:val="24"/>
          <w:szCs w:val="24"/>
          <w:lang w:bidi="fa-IR"/>
        </w:rPr>
        <w:t>English for Iraq</w:t>
      </w:r>
      <w:r w:rsidRPr="00654B8B">
        <w:rPr>
          <w:rFonts w:asciiTheme="majorBidi" w:hAnsiTheme="majorBidi" w:cstheme="majorBidi"/>
          <w:sz w:val="24"/>
          <w:szCs w:val="24"/>
          <w:lang w:bidi="fa-IR"/>
        </w:rPr>
        <w:t xml:space="preserve"> and </w:t>
      </w:r>
      <w:r w:rsidRPr="00654B8B">
        <w:rPr>
          <w:rFonts w:asciiTheme="majorBidi" w:hAnsiTheme="majorBidi" w:cstheme="majorBidi"/>
          <w:i/>
          <w:iCs/>
          <w:sz w:val="24"/>
          <w:szCs w:val="24"/>
          <w:lang w:bidi="fa-IR"/>
        </w:rPr>
        <w:t>Prospect</w:t>
      </w:r>
      <w:r w:rsidRPr="00654B8B">
        <w:rPr>
          <w:rFonts w:asciiTheme="majorBidi" w:hAnsiTheme="majorBidi" w:cstheme="majorBidi"/>
          <w:sz w:val="24"/>
          <w:szCs w:val="24"/>
          <w:lang w:bidi="fa-IR"/>
        </w:rPr>
        <w:t xml:space="preserve"> series of textbooks exhibit any similarities and/or differences in their physical presentation. The results of the research show that both series use visually structured formats and colourful layouts; however, their differences in design are evident through the fact that English for Iraq appears to be more generic and uses widely accepted or standardised visuals aimed at appealing to a wider audience, whereas </w:t>
      </w:r>
      <w:r w:rsidRPr="00654B8B">
        <w:rPr>
          <w:rFonts w:asciiTheme="majorBidi" w:hAnsiTheme="majorBidi" w:cstheme="majorBidi"/>
          <w:i/>
          <w:iCs/>
          <w:sz w:val="24"/>
          <w:szCs w:val="24"/>
          <w:lang w:bidi="fa-IR"/>
        </w:rPr>
        <w:t>Prospect</w:t>
      </w:r>
      <w:r w:rsidRPr="00654B8B">
        <w:rPr>
          <w:rFonts w:asciiTheme="majorBidi" w:hAnsiTheme="majorBidi" w:cstheme="majorBidi"/>
          <w:sz w:val="24"/>
          <w:szCs w:val="24"/>
          <w:lang w:bidi="fa-IR"/>
        </w:rPr>
        <w:t xml:space="preserve"> consists of more localised and culturally attuned images that reflect the sociocultural values of the Iranians. This difference between the two series illustrates the difference in their pedagogical priorities as well as their different sociocultural positioning within their respective education contexts.</w:t>
      </w:r>
    </w:p>
    <w:p w14:paraId="269770CD" w14:textId="1E5B09A9" w:rsidR="00654B8B" w:rsidRDefault="00654B8B" w:rsidP="00654B8B">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654B8B">
        <w:rPr>
          <w:rFonts w:asciiTheme="majorBidi" w:hAnsiTheme="majorBidi" w:cstheme="majorBidi"/>
          <w:sz w:val="24"/>
          <w:szCs w:val="24"/>
          <w:lang w:bidi="fa-IR"/>
        </w:rPr>
        <w:t xml:space="preserve">These findings are consistent with the physical and visual elements reported by Nafashi, who (2024) examined the </w:t>
      </w:r>
      <w:r w:rsidRPr="00654B8B">
        <w:rPr>
          <w:rFonts w:asciiTheme="majorBidi" w:hAnsiTheme="majorBidi" w:cstheme="majorBidi"/>
          <w:i/>
          <w:iCs/>
          <w:sz w:val="24"/>
          <w:szCs w:val="24"/>
          <w:lang w:bidi="fa-IR"/>
        </w:rPr>
        <w:t>English for Iraq</w:t>
      </w:r>
      <w:r w:rsidRPr="00654B8B">
        <w:rPr>
          <w:rFonts w:asciiTheme="majorBidi" w:hAnsiTheme="majorBidi" w:cstheme="majorBidi"/>
          <w:sz w:val="24"/>
          <w:szCs w:val="24"/>
          <w:lang w:bidi="fa-IR"/>
        </w:rPr>
        <w:t xml:space="preserve"> textbooks and believed that the clear, </w:t>
      </w:r>
      <w:r w:rsidRPr="00654B8B">
        <w:rPr>
          <w:rFonts w:asciiTheme="majorBidi" w:hAnsiTheme="majorBidi" w:cstheme="majorBidi"/>
          <w:sz w:val="24"/>
          <w:szCs w:val="24"/>
          <w:lang w:bidi="fa-IR"/>
        </w:rPr>
        <w:lastRenderedPageBreak/>
        <w:t>colourful, and visually inviting design of these books was somewhat generic and not as well-integrated into the local identity. In addition, Jassim and Jassim (2021) stated that the design of the Iraqi textbooks conforms to the universally accepted international design standards, especially in terms of use of colour, clarity of images, and organisational layout of pages; thus, it is designed to comply with the global standards for textbook design. Conversely, Ahmadpour and Yousefi (2020) argue that the Prospect series deliberately integrates visual images related to national dress, family structure, and public spaces, as well as reflect or be aligned with the cultural authenticity of the curriculum.</w:t>
      </w:r>
    </w:p>
    <w:p w14:paraId="727EBA85" w14:textId="1D601B06" w:rsidR="00654B8B" w:rsidRPr="00654B8B" w:rsidRDefault="00654B8B" w:rsidP="00654B8B">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654B8B">
        <w:rPr>
          <w:rFonts w:asciiTheme="majorBidi" w:hAnsiTheme="majorBidi" w:cstheme="majorBidi"/>
          <w:sz w:val="24"/>
          <w:szCs w:val="24"/>
          <w:lang w:bidi="fa-IR"/>
        </w:rPr>
        <w:t>This statement contradicts Littlejohn's (1998) critique of many mainstream EFL textbooks for failing to acknowledge local cultural resonance in favour of uniform international aestheticism. For Iraq, adopting an externally influenced format via collaboration with international publishers (e.g., Pearson) has produced a range of visually appealing, but culturally neutralised product designs, which are dissimilar in appearance to Iranian products. Whereas Prospect embraces a local authorship model that purposefully incorporates culturally based images, signifying a more domestic-oriented development process.</w:t>
      </w:r>
    </w:p>
    <w:p w14:paraId="1A24A046" w14:textId="65CCCC0A" w:rsidR="00654B8B" w:rsidRDefault="00654B8B" w:rsidP="00654B8B">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654B8B">
        <w:rPr>
          <w:rFonts w:asciiTheme="majorBidi" w:hAnsiTheme="majorBidi" w:cstheme="majorBidi"/>
          <w:sz w:val="24"/>
          <w:szCs w:val="24"/>
          <w:lang w:bidi="fa-IR"/>
        </w:rPr>
        <w:t xml:space="preserve">These differences can be attributed to historical ideological/policy influences. Since the fall of Saddam Hussein's regime in 2003, Iraq's ELT design policies have prioritised the pursuit of modernization and the establishment of an identity for ELT as an international entity, hence producing textbooks that conform to Western design standards but do not always contain the same degree of local representation (Obaid et al, 2019). Conversely, the policies directing the development of Iranian textbooks are based upon promoting national values and upholding educational sovereignty, with the main objective of establishing the Islamic/ Iranian identity through educational products (Gholaminejad &amp; Raeisi-Vanani, 2021). </w:t>
      </w:r>
      <w:r w:rsidRPr="00654B8B">
        <w:rPr>
          <w:rFonts w:asciiTheme="majorBidi" w:hAnsiTheme="majorBidi" w:cstheme="majorBidi"/>
          <w:sz w:val="24"/>
          <w:szCs w:val="24"/>
          <w:lang w:bidi="fa-IR"/>
        </w:rPr>
        <w:lastRenderedPageBreak/>
        <w:t>Therefore, the visuals presented in Prospect are intended to communicate moral and cultural messages through both the images and the related themes.</w:t>
      </w:r>
    </w:p>
    <w:p w14:paraId="327390D2" w14:textId="37CC3288" w:rsidR="00654B8B" w:rsidRPr="00654B8B" w:rsidRDefault="00654B8B" w:rsidP="00654B8B">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654B8B">
        <w:rPr>
          <w:rFonts w:asciiTheme="majorBidi" w:hAnsiTheme="majorBidi" w:cstheme="majorBidi"/>
          <w:sz w:val="24"/>
          <w:szCs w:val="24"/>
          <w:lang w:bidi="fa-IR"/>
        </w:rPr>
        <w:t xml:space="preserve">The second research question used different methods to investigate how similar and different the two textbooks were in relation to language skills and the components of the language. The findings showed commonalities in the way the two textbooks attempted to maintain integration of the four primary areas of language. However, Prospect seems to focus more strongly on promoting oral communication and thematic integration than does English for Iraq, which seems to have a more traditional sequencing model (with a greater amount of time placed on grammar and reading) as well as different instructional priorities that have evidently influenced pedagogical ideologies and national educational objectives. </w:t>
      </w:r>
    </w:p>
    <w:p w14:paraId="57B70242" w14:textId="4FC4465D" w:rsidR="00654B8B" w:rsidRDefault="00654B8B" w:rsidP="00654B8B">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654B8B">
        <w:rPr>
          <w:rFonts w:asciiTheme="majorBidi" w:hAnsiTheme="majorBidi" w:cstheme="majorBidi"/>
          <w:sz w:val="24"/>
          <w:szCs w:val="24"/>
          <w:lang w:bidi="fa-IR"/>
        </w:rPr>
        <w:t>This supports findings from Rashidi and Khajavi (2010), who have reported that there was a major shift in Iran's curriculum towards developing students' communicative abilities, especially in the post-reform years. Among other things, this was done through the use of Prospect materials, which promote interaction between students through situations based on their own experiences as well as through tasks that involve listening and speaking. Similarly, Aliakbari and Jamalvandi (2021) suggest that the Prospect text series uses a theme-based structure; therefore, it encourages students to develop oral fluency through contexts that are appropriate for the dialogues and conversations to be developed and performed meaningfully.</w:t>
      </w:r>
      <w:r>
        <w:rPr>
          <w:rFonts w:asciiTheme="majorBidi" w:hAnsiTheme="majorBidi" w:cstheme="majorBidi"/>
          <w:sz w:val="24"/>
          <w:szCs w:val="24"/>
          <w:lang w:bidi="fa-IR"/>
        </w:rPr>
        <w:t xml:space="preserve"> </w:t>
      </w:r>
      <w:r w:rsidRPr="00654B8B">
        <w:rPr>
          <w:rFonts w:asciiTheme="majorBidi" w:hAnsiTheme="majorBidi" w:cstheme="majorBidi"/>
          <w:sz w:val="24"/>
          <w:szCs w:val="24"/>
          <w:lang w:bidi="fa-IR"/>
        </w:rPr>
        <w:t>In Iraq, Majeed (2017) found that while English for Iraq does include grammar instruction, there is little opportunity for students to experience authentic speaking practice when using the English for Iraq materials. Therefore, it can thus be concluded that both English textbooks and language programs qualify as a medium for language instruction that are designed to promote all four aspects of the skills, but they do so with respect to a very different pedagogical execution of the curricular content.</w:t>
      </w:r>
    </w:p>
    <w:p w14:paraId="23002632" w14:textId="635A9D1A" w:rsidR="00654B8B" w:rsidRPr="00654B8B" w:rsidRDefault="00654B8B" w:rsidP="00654B8B">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lastRenderedPageBreak/>
        <w:tab/>
      </w:r>
      <w:r w:rsidRPr="00654B8B">
        <w:rPr>
          <w:rFonts w:asciiTheme="majorBidi" w:hAnsiTheme="majorBidi" w:cstheme="majorBidi"/>
          <w:sz w:val="24"/>
          <w:szCs w:val="24"/>
          <w:lang w:bidi="fa-IR"/>
        </w:rPr>
        <w:t>While Richards and Rogers (2014) suggest that a balanced approach to both receptive and productive skills is the preferred way of teaching communicative language to EFL learners, the Iraqi EFL series, although updated after 2003, has not moved away from structural approaches (as would have been used before that time) by offering less than numerous opportunities for students to engage in open-ended speaking tasks or through integrated project work. Additionally, the Prospect series shows a more definite break from traditional approaches by including more emphasis on dominant areas of CLT and student-centered methods of instruction, and thus matches more closely to Iran’s 2010 National Curriculum Framework.</w:t>
      </w:r>
    </w:p>
    <w:p w14:paraId="4D9B8818" w14:textId="5C7E8A78" w:rsidR="00654B8B" w:rsidRDefault="00654B8B" w:rsidP="00654B8B">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654B8B">
        <w:rPr>
          <w:rFonts w:asciiTheme="majorBidi" w:hAnsiTheme="majorBidi" w:cstheme="majorBidi"/>
          <w:sz w:val="24"/>
          <w:szCs w:val="24"/>
          <w:lang w:bidi="fa-IR"/>
        </w:rPr>
        <w:t>The reason for the differences between the respective courses has occurred because each of the two nations has focused their respective curriculum reforms along different paths. In Iraq, international consultants and publishers largely influenced the way the curriculum has been developed through the creation of hybridized course materials (Obaid et al., 2019) that employ local and external models in the development of those materials. Because of the strong focus upon the implementation of curriculum and the need to prepare students for the Iraq national examination process, teachers continue to use more traditional methods of instruction (e.g., habitual grammar, textbook-driven approach) when teaching English. In contrast, the curriculum reform processes of Iran were driven by new education policy which prioritizes educating to communicative goals and providing moral education, and as a result has placed much more emphasis on developing oral proficiency among lower secondary learners (Riazi &amp; Mosallanejad, 2010), and as a result, the course materials of the Prospect series utilize an integrated skill approach, with a very strong focus on speaking and listening while the English for Iraq series remains primarily structural in nature.</w:t>
      </w:r>
    </w:p>
    <w:p w14:paraId="388E9761" w14:textId="2349828A" w:rsidR="00F039AC" w:rsidRPr="00F039AC" w:rsidRDefault="00F039AC" w:rsidP="00F039AC">
      <w:pPr>
        <w:spacing w:line="480" w:lineRule="auto"/>
        <w:ind w:firstLine="720"/>
        <w:rPr>
          <w:rFonts w:asciiTheme="majorBidi" w:hAnsiTheme="majorBidi" w:cstheme="majorBidi"/>
          <w:sz w:val="24"/>
          <w:szCs w:val="24"/>
          <w:lang w:bidi="fa-IR"/>
        </w:rPr>
      </w:pPr>
      <w:r w:rsidRPr="00F039AC">
        <w:rPr>
          <w:rFonts w:asciiTheme="majorBidi" w:hAnsiTheme="majorBidi" w:cstheme="majorBidi"/>
          <w:sz w:val="24"/>
          <w:szCs w:val="24"/>
          <w:lang w:bidi="fa-IR"/>
        </w:rPr>
        <w:t xml:space="preserve">The purpose of the third research question was to compare the syllabus designs of the English for Iraq and Prospect series and to explore the similarities and differences between </w:t>
      </w:r>
      <w:r w:rsidRPr="00F039AC">
        <w:rPr>
          <w:rFonts w:asciiTheme="majorBidi" w:hAnsiTheme="majorBidi" w:cstheme="majorBidi"/>
          <w:sz w:val="24"/>
          <w:szCs w:val="24"/>
          <w:lang w:bidi="fa-IR"/>
        </w:rPr>
        <w:lastRenderedPageBreak/>
        <w:t>them. The results indicated that the Prospect series employed a localized, spiral syllabus designed around communicative-based objectives stemming from national curriculum reform, whereas English for Iraq aligned more closely with International Curriculum framework yet maintained a mostly linear progression through the different units. The results indicate that the different approaches to syllabus sequencing, integration of skills and curricular focus may reflect how both countries interpret the principles of National Education Philosophy.</w:t>
      </w:r>
    </w:p>
    <w:p w14:paraId="7D92FB7A" w14:textId="5152262D" w:rsidR="00654B8B" w:rsidRDefault="00F039AC" w:rsidP="00F039AC">
      <w:pPr>
        <w:spacing w:line="480" w:lineRule="auto"/>
        <w:ind w:firstLine="720"/>
        <w:rPr>
          <w:rFonts w:asciiTheme="majorBidi" w:hAnsiTheme="majorBidi" w:cstheme="majorBidi"/>
          <w:sz w:val="24"/>
          <w:szCs w:val="24"/>
          <w:lang w:bidi="fa-IR"/>
        </w:rPr>
      </w:pPr>
      <w:r w:rsidRPr="00F039AC">
        <w:rPr>
          <w:rFonts w:asciiTheme="majorBidi" w:hAnsiTheme="majorBidi" w:cstheme="majorBidi"/>
          <w:sz w:val="24"/>
          <w:szCs w:val="24"/>
          <w:lang w:bidi="fa-IR"/>
        </w:rPr>
        <w:t>This finding supports previous studies by Riazi and Mosallanejad (2010), who reported that Iran's secondary English curriculum had a deliberate intention to adopt a spiral syllabus for the purpose of developing cumulative skills over time and for revisiting the use of various communicative functions in subsequent units. Gholaminejad and Raeisi-Vanani (2021) also supported that the Prospect series was designed to provide a gradual opportunity for students to recycle and use of linguistic structures through thematic units and for students to apply their prior knowledge while completing communicative tasks. In Iraq, Jassim and Jassim (2021) reported that the English For Iraq series employed a traditional linear syllabus where the teaching of language structures and reading passages were presented in sequence according to unit, and that there was limited recycling of previously taught material, which mirrored International EFL textbook design but did not follow the communicative sequencing principles to the same extent.</w:t>
      </w:r>
    </w:p>
    <w:p w14:paraId="0F1E1AA7" w14:textId="7D915696" w:rsidR="00F039AC" w:rsidRP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 xml:space="preserve">According to Nation and Macalister (2010), the authors of the most effective ELT textbook series must incorporate both a linear and spiral method to provide a balance between the two methods of teaching, so students learn new language through both the development of new knowledge, as well as through the application of previous knowledge. The textbooks used in the Prospect series utilize this approach successfully by consistently revisiting materials through functional language. In contrast, the books used in the English for Iraq </w:t>
      </w:r>
      <w:r w:rsidRPr="00F039AC">
        <w:rPr>
          <w:rFonts w:asciiTheme="majorBidi" w:hAnsiTheme="majorBidi" w:cstheme="majorBidi"/>
          <w:sz w:val="24"/>
          <w:szCs w:val="24"/>
          <w:lang w:bidi="fa-IR"/>
        </w:rPr>
        <w:lastRenderedPageBreak/>
        <w:t>series reflect an example of a traditional structural syllabus, with how the author presents the grammatical points to students. Students are taught explicitly about grammatical structures in a linear fashion, but not with a great deal of spiraling or task-based integration of these structures. Littlejohn (2011) also found that a large percentage of textbooks are adapted from their original version for international distribution. Therefore, they are designed with an emphasis on a linear teaching progression rather than on the communicative recycling of language, thus supporting the same view as the Iraq series over the Iranian series.</w:t>
      </w:r>
    </w:p>
    <w:p w14:paraId="78911C1E" w14:textId="7740240E" w:rsidR="00654B8B"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The primary reason for these contrasts in the way coursebooks were produced was due to the differences between the reasons that Iran and Iraq underwent their national curriculum reforms. The primary focus of the Iranian educational system’s reform was to promote students’ communicative competence and align ELT practice with the values of the Iranian culture, so the Iranian ELT syllabi are both culturally embedded as well as being cyclically pedagogically (Aliakbari &amp; Jamalvandi, 2021). After 2003, Iraq underwent its own national curriculum reform based primarily on the advice of foreign consultants and the global ELT model, with the focus being placed on the modernization of education as well as bringing the Iraqi educational system into conformity with the global ELT model, rather than undertaking a true restructuring of the Iraqi syllabus (Obaid et al., 2019). Therefore, the English for Iraq coursebooks are written in the same way that commercial global textbooks are written, which is in a linear way, whereas the Prospect coursebooks were developed in the framework of a cycle-based, communicatively-oriented design that reflects the priorities of Iran's national policy.</w:t>
      </w:r>
    </w:p>
    <w:p w14:paraId="6F0FAA50" w14:textId="2E4E3F42" w:rsidR="00F039AC" w:rsidRPr="00F039AC" w:rsidRDefault="00F039AC" w:rsidP="00237B0E">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 xml:space="preserve">The purpose of the fourth research question was to determine if the English for Iraq and Prospect textbook series reflected similarities and differences when it came to their representations of culture. English for Iraq has primarily been developed to represent a source-culture perspective, while Prospect has incorporated many elements of Iranian Islamic </w:t>
      </w:r>
      <w:r w:rsidRPr="00F039AC">
        <w:rPr>
          <w:rFonts w:asciiTheme="majorBidi" w:hAnsiTheme="majorBidi" w:cstheme="majorBidi"/>
          <w:sz w:val="24"/>
          <w:szCs w:val="24"/>
          <w:lang w:bidi="fa-IR"/>
        </w:rPr>
        <w:lastRenderedPageBreak/>
        <w:t>cultural values into its thematic units. Because of this, the two textbooks represent opposing ideological positions in relation to national identity.</w:t>
      </w:r>
    </w:p>
    <w:p w14:paraId="3A2B6765" w14:textId="4198D01C" w:rsidR="00654B8B"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This finding supports the results from the study conducted by Obaid, et al. (2019), which concluded that the focus in English for Iraq was primarily on surface elements of culture (e.g. names, places, customs) and that there was little emphasis placed on developing intercultural awareness and the critical thinking skills necessary for promoting critical cultural literacy. The same finding was reported by Fayadh (2020) who noted that although local cultures are included in Iraqi textbooks, they are often found to be fragmented and lacking in depth in terms of developing students' ability to communicate interculturally. On the other hand, Aliakbari and Jamalvandi (2021) observed that Prospect was specifically developed to reflect Islamic values and the Iranian national identity by incorporating cultural content such as family respect, religious observances, and community involvement in both the vocabulary and reading and speaking exercises.</w:t>
      </w:r>
    </w:p>
    <w:p w14:paraId="66599A42" w14:textId="0ADD9BE0" w:rsidR="00F039AC" w:rsidRPr="00F039AC" w:rsidRDefault="00F039AC" w:rsidP="00237B0E">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In direct contrast to these textbooks, there are several trends occurring at the international level when it comes to ELT textbook design. For example, Gray (2010) and Yuen (2011) argue that a large portion of modern ELT textbooks should include a combination of both the source, target, and global cultures; therefore, creating an environment that provides learners with a well-rounded global citizenship experience of English. Both of these publishers are lacking in that respect; English for Iraq fails to address global culture while Prospect can be perceived as submitting to ideologically restrictive limitations by favouring domestic-based narratives over those of an international culture. The disparity in the treatment of cultural representation between these two series highlights the impact that sociopolitical priorities in each country will have on the amount and direction of cultural content represented in ELT textbooks.</w:t>
      </w:r>
    </w:p>
    <w:p w14:paraId="493FD0B8" w14:textId="3FCA2595" w:rsid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lastRenderedPageBreak/>
        <w:tab/>
      </w:r>
      <w:r w:rsidRPr="00F039AC">
        <w:rPr>
          <w:rFonts w:asciiTheme="majorBidi" w:hAnsiTheme="majorBidi" w:cstheme="majorBidi"/>
          <w:sz w:val="24"/>
          <w:szCs w:val="24"/>
          <w:lang w:bidi="fa-IR"/>
        </w:rPr>
        <w:t>The difference in the representation of culture in these two textbooks is primarily the result of differing approaches to creating English Language Teaching materials and the process involved in developing those resources. In the case of Iran, the Ministry of Education oversees the creation of ELT textbooks, so there is a strong emphasis placed on representing the national and religious identity of the country through cultural content (Rashidi &amp; Rasti, 2012). In contrast, English for Iraq was created in collaboration with a number of international publishers and therefore is a combination of an English Language Teaching textbook with some cultural reference to the local community and cultural representation outside that area; however, it lacks the same depth of ideological or religious roots found in textbooks created in Iran. This indicates how the manner in which authors are selected, the political climate, and the types of beliefs held within the country's educational context can significantly shape the way cultural representation is treated in ELT resources.</w:t>
      </w:r>
    </w:p>
    <w:p w14:paraId="78CC90EF" w14:textId="68064C4E" w:rsidR="00DD1FFD" w:rsidRPr="0098127B" w:rsidRDefault="00DD1FFD" w:rsidP="00241FE0">
      <w:pPr>
        <w:spacing w:line="480" w:lineRule="auto"/>
        <w:ind w:firstLine="720"/>
        <w:rPr>
          <w:rFonts w:asciiTheme="majorBidi" w:hAnsiTheme="majorBidi" w:cstheme="majorBidi"/>
          <w:sz w:val="24"/>
          <w:szCs w:val="24"/>
          <w:lang w:bidi="fa-IR"/>
        </w:rPr>
      </w:pPr>
      <w:r w:rsidRPr="00DD1FFD">
        <w:rPr>
          <w:rFonts w:asciiTheme="majorBidi" w:hAnsiTheme="majorBidi" w:cstheme="majorBidi"/>
          <w:sz w:val="24"/>
          <w:szCs w:val="24"/>
          <w:lang w:bidi="fa-IR"/>
        </w:rPr>
        <w:t xml:space="preserve">In conclusion, </w:t>
      </w:r>
      <w:r w:rsidR="00F039AC">
        <w:rPr>
          <w:rFonts w:asciiTheme="majorBidi" w:hAnsiTheme="majorBidi" w:cstheme="majorBidi"/>
          <w:sz w:val="24"/>
          <w:szCs w:val="24"/>
          <w:lang w:bidi="fa-IR"/>
        </w:rPr>
        <w:t>t</w:t>
      </w:r>
      <w:r w:rsidR="00F039AC" w:rsidRPr="00F039AC">
        <w:rPr>
          <w:rFonts w:asciiTheme="majorBidi" w:hAnsiTheme="majorBidi" w:cstheme="majorBidi"/>
          <w:sz w:val="24"/>
          <w:szCs w:val="24"/>
          <w:lang w:bidi="fa-IR"/>
        </w:rPr>
        <w:t>he comparative analysis of the English for Iraq and Prospect textbook series examines their similarities and differences in the areas of physical appearance, skills, syllabus design and cultural representation. There are clear differences between the two series, with each series reflecting the different priorities of their countries and the respective philosophies of the education systems that produced them. The differences between the two series highlight the fact that the curriculum reform process is not just educational; it is also heavily influenced by political and cultural forces. The content of the textbooks provides insight into the political, cultural and national identities in addition to the policies concerning English language teaching in the Middle East.</w:t>
      </w:r>
    </w:p>
    <w:p w14:paraId="16A2531E" w14:textId="6829D0EF" w:rsidR="008930DE" w:rsidRPr="0098127B" w:rsidRDefault="008930DE" w:rsidP="008379AE">
      <w:pPr>
        <w:spacing w:line="480" w:lineRule="auto"/>
        <w:rPr>
          <w:rFonts w:asciiTheme="majorBidi" w:hAnsiTheme="majorBidi" w:cstheme="majorBidi"/>
          <w:b/>
          <w:bCs/>
          <w:sz w:val="24"/>
          <w:szCs w:val="24"/>
          <w:lang w:bidi="fa-IR"/>
        </w:rPr>
      </w:pPr>
      <w:r w:rsidRPr="0098127B">
        <w:rPr>
          <w:rFonts w:asciiTheme="majorBidi" w:hAnsiTheme="majorBidi" w:cstheme="majorBidi"/>
          <w:b/>
          <w:bCs/>
          <w:sz w:val="24"/>
          <w:szCs w:val="24"/>
          <w:lang w:bidi="fa-IR"/>
        </w:rPr>
        <w:t>5.3 Conclusion</w:t>
      </w:r>
    </w:p>
    <w:p w14:paraId="2589C6B4" w14:textId="246C7A20" w:rsidR="00F039AC" w:rsidRPr="00F039AC" w:rsidRDefault="00F039AC" w:rsidP="00F039AC">
      <w:pPr>
        <w:spacing w:line="480" w:lineRule="auto"/>
        <w:rPr>
          <w:rFonts w:asciiTheme="majorBidi" w:hAnsiTheme="majorBidi" w:cstheme="majorBidi"/>
          <w:sz w:val="24"/>
          <w:szCs w:val="24"/>
          <w:lang w:bidi="fa-IR"/>
        </w:rPr>
      </w:pPr>
      <w:r w:rsidRPr="00F039AC">
        <w:rPr>
          <w:rFonts w:asciiTheme="majorBidi" w:hAnsiTheme="majorBidi" w:cstheme="majorBidi"/>
          <w:sz w:val="24"/>
          <w:szCs w:val="24"/>
          <w:lang w:bidi="fa-IR"/>
        </w:rPr>
        <w:t xml:space="preserve">The current research paper was designed to investigate the degree of overlap and difference that exists between the English for Iraq and Prospect textbook series, concentrating on their </w:t>
      </w:r>
      <w:r w:rsidRPr="00F039AC">
        <w:rPr>
          <w:rFonts w:asciiTheme="majorBidi" w:hAnsiTheme="majorBidi" w:cstheme="majorBidi"/>
          <w:sz w:val="24"/>
          <w:szCs w:val="24"/>
          <w:lang w:bidi="fa-IR"/>
        </w:rPr>
        <w:lastRenderedPageBreak/>
        <w:t>respective physical presentation formats; language skill components; syllabi structure; and cultural representations. Utilising AbdelWahab's (2013) evaluation checklists allowed a consistent framework to be used across both series and resulted in identifying contrasting characteristics, which were the result of each countries' educational aims, cultural beliefs and influences from, and direction of, the curriculum reform. However, while both series are focused on developing communicative competence and offering examples of what has changed as a result of these reforms, the Prospect textbook series demonstrates a greater incorporation of culturally and religiously appropriate local contexts into its design and a more coherent integration of skill development than the English for Iraq series. The English for Iraq series is more synonymous with the international ESL/EFL methodology but does not include the same depth of culture or progressive integration of skills into the curriculum.</w:t>
      </w:r>
    </w:p>
    <w:p w14:paraId="0E60A0D0" w14:textId="730BD9F4" w:rsid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The results of this paper also assist in understanding how ELT textbooks serve the dual purpose of being both pedagogical tools and carriers of culture within a Middle Eastern context; therefore, the study illustrates how the nature of teaching materials serves as a reflection of the goals being sought in educating the students, along with a representation of the nation's identity/provided culture and religious beliefs and the pressures involved with curriculum reform. The relationship or lack of relationship between the textbook series and learner needs, ideological frameworks, and curricular objectives provides insight to policymakers, curriculum developers and educators involved in future textbook design and/or curriculum reform.</w:t>
      </w:r>
    </w:p>
    <w:p w14:paraId="4CBC72C5" w14:textId="7CCE7EA5" w:rsidR="00F039AC" w:rsidRP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 xml:space="preserve">Though the results of this study may present important new information regarding the secondary level ELT curriculum in both Iraq and Iran, extreme caution should be exercised when generalizing these results across other contexts. For instance, the data collected in the current research pertained only to certain textbooks selected by the authors and a single evaluation framework used throughout the course of the research. Therefore, it is possible </w:t>
      </w:r>
      <w:r w:rsidRPr="00F039AC">
        <w:rPr>
          <w:rFonts w:asciiTheme="majorBidi" w:hAnsiTheme="majorBidi" w:cstheme="majorBidi"/>
          <w:sz w:val="24"/>
          <w:szCs w:val="24"/>
          <w:lang w:bidi="fa-IR"/>
        </w:rPr>
        <w:lastRenderedPageBreak/>
        <w:t>that the results do not reflect the differing regional contexts among Iraq and within each of these regions, nor do they give insight into how teachers are using the provided materials in their classes. Additionally, since the two textbooks were compiled in such different political/institutional settings, we cannot extrapolate from the current study to any other Middle Eastern country or to textbooks used in the private sector without further empirical studies to support these conclusions.</w:t>
      </w:r>
    </w:p>
    <w:p w14:paraId="7CDC76E3" w14:textId="6B60D4BE" w:rsid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At the same time, it must be noted that the comparative framework and the established evaluation framework used in the current study allow for greater transferability of the findings. Furthermore, these findings will potentially provide an example/model on how to establish a cross-national evaluation of textbooks through the further study of the proposed young teacher's use of the current study's findings, as well as through the further study of the perceptions of the students and their performance outcomes.</w:t>
      </w:r>
    </w:p>
    <w:p w14:paraId="6A3F4124" w14:textId="4121A4CA" w:rsidR="008930DE" w:rsidRPr="0098127B" w:rsidRDefault="008930DE" w:rsidP="008379AE">
      <w:pPr>
        <w:spacing w:line="480" w:lineRule="auto"/>
        <w:rPr>
          <w:rFonts w:asciiTheme="majorBidi" w:hAnsiTheme="majorBidi" w:cstheme="majorBidi"/>
          <w:b/>
          <w:bCs/>
          <w:sz w:val="24"/>
          <w:szCs w:val="24"/>
          <w:lang w:bidi="fa-IR"/>
        </w:rPr>
      </w:pPr>
      <w:r w:rsidRPr="0098127B">
        <w:rPr>
          <w:rFonts w:asciiTheme="majorBidi" w:hAnsiTheme="majorBidi" w:cstheme="majorBidi"/>
          <w:b/>
          <w:bCs/>
          <w:sz w:val="24"/>
          <w:szCs w:val="24"/>
          <w:lang w:bidi="fa-IR"/>
        </w:rPr>
        <w:t>5.4 Pedagogical Implications</w:t>
      </w:r>
    </w:p>
    <w:p w14:paraId="61A86908" w14:textId="77777777" w:rsidR="00F039AC" w:rsidRPr="00F039AC" w:rsidRDefault="00F039AC" w:rsidP="00F039AC">
      <w:pPr>
        <w:spacing w:line="480" w:lineRule="auto"/>
        <w:rPr>
          <w:rFonts w:asciiTheme="majorBidi" w:hAnsiTheme="majorBidi" w:cstheme="majorBidi"/>
          <w:sz w:val="24"/>
          <w:szCs w:val="24"/>
          <w:lang w:bidi="fa-IR"/>
        </w:rPr>
      </w:pPr>
      <w:r w:rsidRPr="00F039AC">
        <w:rPr>
          <w:rFonts w:asciiTheme="majorBidi" w:hAnsiTheme="majorBidi" w:cstheme="majorBidi"/>
          <w:sz w:val="24"/>
          <w:szCs w:val="24"/>
          <w:lang w:bidi="fa-IR"/>
        </w:rPr>
        <w:t>This study's findings indicate that there is also a need for the development of more context-sensitive materials in Iraq and Iran. Although both English for Iraq and Prospect strive to meet the principles of communicative teaching, their approaches to combining skills, providing cultural context, and serving learner needs differ significantly. Therefore, unreasonable demands are placed on learners because, in order to create an appropriate textbook, textbook writers should consider the sociolinguistic contexts of the countries where their textbooks will be used.</w:t>
      </w:r>
    </w:p>
    <w:p w14:paraId="05EE4D28" w14:textId="4B9FFD13" w:rsid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 xml:space="preserve">As a second implication, teacher training and professional development is necessary to facilitate the effective use of both of these different ideological and pedagogical approaches to the English language. For example, to utilise English for Iraq as effectively as possible, Iraqi teachers need to be trained on how to provide intercultural insights that extend </w:t>
      </w:r>
      <w:r w:rsidRPr="00F039AC">
        <w:rPr>
          <w:rFonts w:asciiTheme="majorBidi" w:hAnsiTheme="majorBidi" w:cstheme="majorBidi"/>
          <w:sz w:val="24"/>
          <w:szCs w:val="24"/>
          <w:lang w:bidi="fa-IR"/>
        </w:rPr>
        <w:lastRenderedPageBreak/>
        <w:t>beyond the surface-level cultural references that the textbook offers. Likewise, Iranian teachers who work with Prospect will need to learn to balance the ideological messages underlying the material with the principles of communicative, student-centred pedagogy. This means that empowering teachers to adapt textbooks based on the realities of their classrooms is critical for effective curriculum enactment.</w:t>
      </w:r>
    </w:p>
    <w:p w14:paraId="063FA928" w14:textId="648DF47E" w:rsidR="00AE798A" w:rsidRPr="00AE798A" w:rsidRDefault="00AE798A" w:rsidP="00AE798A">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AE798A">
        <w:rPr>
          <w:rFonts w:asciiTheme="majorBidi" w:hAnsiTheme="majorBidi" w:cstheme="majorBidi"/>
          <w:sz w:val="24"/>
          <w:szCs w:val="24"/>
          <w:lang w:bidi="fa-IR"/>
        </w:rPr>
        <w:t>The significance of integrating communicative skills (reading, writing, listening, and speaking) is underscored in both sets of materials by the researchers in this study. Although Prospect gives more attention to oral communication when compared to English for Iraq which appears to have much more strict parameters in terms of progression with regard to skills; both should strive for a balanced approach towards the acquisition of skills. Curriculum designers/policy makers should provide an appropriate scaffolding for skills acquisition that is based upon practical use of those skills, i.e., developing real-world communicative tasks.</w:t>
      </w:r>
    </w:p>
    <w:p w14:paraId="14D39E10" w14:textId="54087C1B" w:rsidR="00F039AC" w:rsidRDefault="00AE798A" w:rsidP="00AE798A">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AE798A">
        <w:rPr>
          <w:rFonts w:asciiTheme="majorBidi" w:hAnsiTheme="majorBidi" w:cstheme="majorBidi"/>
          <w:sz w:val="24"/>
          <w:szCs w:val="24"/>
          <w:lang w:bidi="fa-IR"/>
        </w:rPr>
        <w:t>Moreover, there is a need for cultural inclusiveness in both text series which promotes the identification of oneself as part of a national and global community, creating global citizens. As intercultural competency has gained more attention within the field of ELT, there are many opportunities for both series to incorporate cultural perspectives that promote inclusion without conflicting with national identity. Teachers must also be prepared to manage cultural content within the classroom, providing opportunities for dialogue regarding both local and global norms. Such a dual focus will promote greater engagement among learners and help to expand their view of the world.</w:t>
      </w:r>
    </w:p>
    <w:p w14:paraId="5EF6FB81" w14:textId="26993699" w:rsidR="00237B0E" w:rsidRDefault="00237B0E" w:rsidP="00237B0E">
      <w:pPr>
        <w:spacing w:line="480" w:lineRule="auto"/>
        <w:ind w:firstLine="720"/>
        <w:rPr>
          <w:rFonts w:asciiTheme="majorBidi" w:hAnsiTheme="majorBidi" w:cstheme="majorBidi"/>
          <w:sz w:val="24"/>
          <w:szCs w:val="24"/>
          <w:lang w:bidi="fa-IR"/>
        </w:rPr>
      </w:pPr>
      <w:r w:rsidRPr="00237B0E">
        <w:rPr>
          <w:rFonts w:asciiTheme="majorBidi" w:hAnsiTheme="majorBidi" w:cstheme="majorBidi"/>
          <w:sz w:val="24"/>
          <w:szCs w:val="24"/>
          <w:lang w:bidi="fa-IR"/>
        </w:rPr>
        <w:t xml:space="preserve">The findings of this study contribute to the theoretical understanding of English language curriculum design by demonstrating how national educational ideologies and reform agendas are concretely realized through textbook content. By applying AbdelWahab’s </w:t>
      </w:r>
      <w:r w:rsidRPr="00237B0E">
        <w:rPr>
          <w:rFonts w:asciiTheme="majorBidi" w:hAnsiTheme="majorBidi" w:cstheme="majorBidi"/>
          <w:sz w:val="24"/>
          <w:szCs w:val="24"/>
          <w:lang w:bidi="fa-IR"/>
        </w:rPr>
        <w:lastRenderedPageBreak/>
        <w:t xml:space="preserve">checklist as a unified evaluative framework, the study provides empirical support for theories that conceptualize textbooks as ideological and pedagogical artifacts rather than neutral instructional tools. The observed differences between </w:t>
      </w:r>
      <w:r w:rsidRPr="00237B0E">
        <w:rPr>
          <w:rFonts w:asciiTheme="majorBidi" w:hAnsiTheme="majorBidi" w:cstheme="majorBidi"/>
          <w:i/>
          <w:iCs/>
          <w:sz w:val="24"/>
          <w:szCs w:val="24"/>
          <w:lang w:bidi="fa-IR"/>
        </w:rPr>
        <w:t>English for Iraq</w:t>
      </w:r>
      <w:r w:rsidRPr="00237B0E">
        <w:rPr>
          <w:rFonts w:asciiTheme="majorBidi" w:hAnsiTheme="majorBidi" w:cstheme="majorBidi"/>
          <w:sz w:val="24"/>
          <w:szCs w:val="24"/>
          <w:lang w:bidi="fa-IR"/>
        </w:rPr>
        <w:t xml:space="preserve"> and </w:t>
      </w:r>
      <w:r w:rsidRPr="00237B0E">
        <w:rPr>
          <w:rFonts w:asciiTheme="majorBidi" w:hAnsiTheme="majorBidi" w:cstheme="majorBidi"/>
          <w:i/>
          <w:iCs/>
          <w:sz w:val="24"/>
          <w:szCs w:val="24"/>
          <w:lang w:bidi="fa-IR"/>
        </w:rPr>
        <w:t>Prospect</w:t>
      </w:r>
      <w:r w:rsidRPr="00237B0E">
        <w:rPr>
          <w:rFonts w:asciiTheme="majorBidi" w:hAnsiTheme="majorBidi" w:cstheme="majorBidi"/>
          <w:sz w:val="24"/>
          <w:szCs w:val="24"/>
          <w:lang w:bidi="fa-IR"/>
        </w:rPr>
        <w:t>—particularly in skills integration, syllabus organization, and cultural representation—highlight the role of local authorship and curriculum policy in shaping communicative orientations within ELT materials. These findings extend existing curriculum and textbook evaluation theories by illustrating how global communicative principles are selectively adapted to local sociocultural contexts, thereby reinforcing the importance of context-sensitive theoretical models in English language education.</w:t>
      </w:r>
    </w:p>
    <w:p w14:paraId="3C858773" w14:textId="2C96D20A" w:rsidR="008930DE" w:rsidRPr="0098127B" w:rsidRDefault="00037180" w:rsidP="00037180">
      <w:pPr>
        <w:spacing w:line="480" w:lineRule="auto"/>
        <w:ind w:firstLine="720"/>
        <w:rPr>
          <w:rFonts w:asciiTheme="majorBidi" w:hAnsiTheme="majorBidi" w:cstheme="majorBidi"/>
          <w:sz w:val="24"/>
          <w:szCs w:val="24"/>
          <w:lang w:bidi="fa-IR"/>
        </w:rPr>
      </w:pPr>
      <w:r w:rsidRPr="00037180">
        <w:rPr>
          <w:rFonts w:asciiTheme="majorBidi" w:hAnsiTheme="majorBidi" w:cstheme="majorBidi"/>
          <w:sz w:val="24"/>
          <w:szCs w:val="24"/>
          <w:lang w:bidi="fa-IR"/>
        </w:rPr>
        <w:t>Finally, this study underscores the pedagogical potential of textbook evaluation as a reflective practice. Schools, teacher training institutes, and ministries of education should incorporate textbook evaluation activities into professional learning programs. Engaging teachers and stakeholders in the evaluation process not only fosters critical awareness of curricular content but also empowers educators to become active participants in curriculum reform. Ultimately, a culture of reflective evaluation can lead to more responsive, effective, and equitable ELT instruction.</w:t>
      </w:r>
    </w:p>
    <w:p w14:paraId="3C5C39F8" w14:textId="5BA107AC" w:rsidR="008930DE" w:rsidRPr="0098127B" w:rsidRDefault="008930DE" w:rsidP="008379AE">
      <w:pPr>
        <w:spacing w:line="480" w:lineRule="auto"/>
        <w:rPr>
          <w:rFonts w:asciiTheme="majorBidi" w:hAnsiTheme="majorBidi" w:cstheme="majorBidi"/>
          <w:b/>
          <w:bCs/>
          <w:sz w:val="24"/>
          <w:szCs w:val="24"/>
          <w:lang w:bidi="fa-IR"/>
        </w:rPr>
      </w:pPr>
      <w:r w:rsidRPr="0098127B">
        <w:rPr>
          <w:rFonts w:asciiTheme="majorBidi" w:hAnsiTheme="majorBidi" w:cstheme="majorBidi"/>
          <w:b/>
          <w:bCs/>
          <w:sz w:val="24"/>
          <w:szCs w:val="24"/>
          <w:lang w:bidi="fa-IR"/>
        </w:rPr>
        <w:t>5.5 Suggestions for Future Studies</w:t>
      </w:r>
    </w:p>
    <w:p w14:paraId="102E5EA6" w14:textId="77777777" w:rsidR="00F039AC" w:rsidRPr="00F039AC" w:rsidRDefault="00F039AC" w:rsidP="00F039AC">
      <w:pPr>
        <w:spacing w:line="480" w:lineRule="auto"/>
        <w:rPr>
          <w:rFonts w:asciiTheme="majorBidi" w:hAnsiTheme="majorBidi" w:cstheme="majorBidi"/>
          <w:sz w:val="24"/>
          <w:szCs w:val="24"/>
          <w:lang w:bidi="fa-IR"/>
        </w:rPr>
      </w:pPr>
      <w:r w:rsidRPr="00F039AC">
        <w:rPr>
          <w:rFonts w:asciiTheme="majorBidi" w:hAnsiTheme="majorBidi" w:cstheme="majorBidi"/>
          <w:sz w:val="24"/>
          <w:szCs w:val="24"/>
          <w:lang w:bidi="fa-IR"/>
        </w:rPr>
        <w:t>This research creates several opportunities for new research, particularly to increase the comparative range to include additional countries in the Middle East or other locations beyond it. Although this dissertation investigated Iraq and Iran, future investigations may explore the comparable curricular evolution of countries such as Jordan, Saudi Arabia, and Egypt to create a more comprehensive regional comprehension of ELT reform. This type of study could uncover common challenges faced and innovations made, leading to the establishment of a more synchronised model for regional English language education.</w:t>
      </w:r>
    </w:p>
    <w:p w14:paraId="6AB28E7B" w14:textId="1D6C8232" w:rsid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lastRenderedPageBreak/>
        <w:tab/>
      </w:r>
      <w:r w:rsidRPr="00F039AC">
        <w:rPr>
          <w:rFonts w:asciiTheme="majorBidi" w:hAnsiTheme="majorBidi" w:cstheme="majorBidi"/>
          <w:sz w:val="24"/>
          <w:szCs w:val="24"/>
          <w:lang w:bidi="fa-IR"/>
        </w:rPr>
        <w:t xml:space="preserve">A second </w:t>
      </w:r>
      <w:r>
        <w:rPr>
          <w:rFonts w:asciiTheme="majorBidi" w:hAnsiTheme="majorBidi" w:cstheme="majorBidi"/>
          <w:sz w:val="24"/>
          <w:szCs w:val="24"/>
          <w:lang w:bidi="fa-IR"/>
        </w:rPr>
        <w:t>area</w:t>
      </w:r>
      <w:r w:rsidRPr="00F039AC">
        <w:rPr>
          <w:rFonts w:asciiTheme="majorBidi" w:hAnsiTheme="majorBidi" w:cstheme="majorBidi"/>
          <w:sz w:val="24"/>
          <w:szCs w:val="24"/>
          <w:lang w:bidi="fa-IR"/>
        </w:rPr>
        <w:t xml:space="preserve"> appears promising, that of researching the way teachers implement textbooks in their classrooms. The current study involved an analysis of the content of textbooks using a checklist method; however, it did not analyse how teachers actually use the books and how learners engage with them. Future projects can use ethnographic methods based in the classroom, or action research to investigate the links between textbook content, teaching approaches and learner outcomes. This type of research is hoped to connect the divide between curriculum-as-design and curriculum-as-practice.</w:t>
      </w:r>
    </w:p>
    <w:p w14:paraId="4F3BEB65" w14:textId="60831BFC" w:rsidR="00F039AC" w:rsidRP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It is also important for future research to focus on students and their perspectives regarding the effectiveness, relevance and engagement of educational materials. Although students are the primary users of these resources, their perspectives are often not included in the evaluation of the curriculum. Researchers could use qualitative methods, including interviews, focus groups, and surveys, to better understand the way that students interact with the content of the textbooks and what they think would help improve their learning experience.</w:t>
      </w:r>
    </w:p>
    <w:p w14:paraId="27C20EFF" w14:textId="2D02D3C6" w:rsidR="00F039AC" w:rsidRDefault="00F039AC" w:rsidP="00F039AC">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ab/>
      </w:r>
      <w:r w:rsidRPr="00F039AC">
        <w:rPr>
          <w:rFonts w:asciiTheme="majorBidi" w:hAnsiTheme="majorBidi" w:cstheme="majorBidi"/>
          <w:sz w:val="24"/>
          <w:szCs w:val="24"/>
          <w:lang w:bidi="fa-IR"/>
        </w:rPr>
        <w:t>In addition to studying how textbooks (and their associated ideologies) affect student identity and motivation, researchers could also investigate how cultural representation and national narratives presented in textbooks influence students’ perceptions about learning English and the way that they see themselves as users of the English language. Studies that rely on positioning theory or critical discourse analysis will provide valuable insight into the complex relationship between students, the textbooks they use, and their experiences with learning English.</w:t>
      </w:r>
    </w:p>
    <w:p w14:paraId="2E8FE47F" w14:textId="34E97A10" w:rsidR="00037180" w:rsidRDefault="00037180" w:rsidP="00037180">
      <w:pPr>
        <w:spacing w:line="480" w:lineRule="auto"/>
        <w:ind w:firstLine="720"/>
        <w:rPr>
          <w:rFonts w:asciiTheme="majorBidi" w:hAnsiTheme="majorBidi" w:cstheme="majorBidi"/>
          <w:sz w:val="24"/>
          <w:szCs w:val="24"/>
          <w:lang w:bidi="fa-IR"/>
        </w:rPr>
      </w:pPr>
      <w:r w:rsidRPr="00037180">
        <w:rPr>
          <w:rFonts w:asciiTheme="majorBidi" w:hAnsiTheme="majorBidi" w:cstheme="majorBidi"/>
          <w:sz w:val="24"/>
          <w:szCs w:val="24"/>
          <w:lang w:bidi="fa-IR"/>
        </w:rPr>
        <w:t xml:space="preserve">Finally, subsequent research should focus on evaluation tool development and adaptation. While AbdelWahab’s checklist served as a comprehensive framework in this study, its applicability across different educational contexts warrants further testing. </w:t>
      </w:r>
      <w:r w:rsidRPr="00037180">
        <w:rPr>
          <w:rFonts w:asciiTheme="majorBidi" w:hAnsiTheme="majorBidi" w:cstheme="majorBidi"/>
          <w:sz w:val="24"/>
          <w:szCs w:val="24"/>
          <w:lang w:bidi="fa-IR"/>
        </w:rPr>
        <w:lastRenderedPageBreak/>
        <w:t>Researchers could revise or develop localized textbook evaluation models that account for national curriculum standards, cultural expectations, and student needs. Creating validated, context-specific instruments would support more rigorous and replicable textbook studies, ultimately enhancing the quality and equity of ELT education.</w:t>
      </w:r>
    </w:p>
    <w:p w14:paraId="7BFC8E0D" w14:textId="22E28B8D" w:rsidR="00AE798A" w:rsidRDefault="00AE798A" w:rsidP="00037180">
      <w:pPr>
        <w:spacing w:line="480" w:lineRule="auto"/>
        <w:ind w:firstLine="720"/>
        <w:rPr>
          <w:rFonts w:asciiTheme="majorBidi" w:hAnsiTheme="majorBidi" w:cstheme="majorBidi"/>
          <w:sz w:val="24"/>
          <w:szCs w:val="24"/>
          <w:lang w:bidi="fa-IR"/>
        </w:rPr>
      </w:pPr>
    </w:p>
    <w:p w14:paraId="68105964" w14:textId="564241DF" w:rsidR="00AE798A" w:rsidRDefault="00AE798A" w:rsidP="00037180">
      <w:pPr>
        <w:spacing w:line="480" w:lineRule="auto"/>
        <w:ind w:firstLine="720"/>
        <w:rPr>
          <w:rFonts w:asciiTheme="majorBidi" w:hAnsiTheme="majorBidi" w:cstheme="majorBidi"/>
          <w:sz w:val="24"/>
          <w:szCs w:val="24"/>
          <w:lang w:bidi="fa-IR"/>
        </w:rPr>
      </w:pPr>
    </w:p>
    <w:p w14:paraId="46E5DB1B" w14:textId="7B138581" w:rsidR="00AE798A" w:rsidRDefault="00AE798A" w:rsidP="00037180">
      <w:pPr>
        <w:spacing w:line="480" w:lineRule="auto"/>
        <w:ind w:firstLine="720"/>
        <w:rPr>
          <w:rFonts w:asciiTheme="majorBidi" w:hAnsiTheme="majorBidi" w:cstheme="majorBidi"/>
          <w:sz w:val="24"/>
          <w:szCs w:val="24"/>
          <w:lang w:bidi="fa-IR"/>
        </w:rPr>
      </w:pPr>
    </w:p>
    <w:p w14:paraId="36F598E1" w14:textId="06F6C2B0" w:rsidR="00AE798A" w:rsidRDefault="00AE798A" w:rsidP="00037180">
      <w:pPr>
        <w:spacing w:line="480" w:lineRule="auto"/>
        <w:ind w:firstLine="720"/>
        <w:rPr>
          <w:rFonts w:asciiTheme="majorBidi" w:hAnsiTheme="majorBidi" w:cstheme="majorBidi"/>
          <w:sz w:val="24"/>
          <w:szCs w:val="24"/>
          <w:lang w:bidi="fa-IR"/>
        </w:rPr>
      </w:pPr>
    </w:p>
    <w:p w14:paraId="43979056" w14:textId="28890823" w:rsidR="00AE798A" w:rsidRDefault="00AE798A" w:rsidP="00037180">
      <w:pPr>
        <w:spacing w:line="480" w:lineRule="auto"/>
        <w:ind w:firstLine="720"/>
        <w:rPr>
          <w:rFonts w:asciiTheme="majorBidi" w:hAnsiTheme="majorBidi" w:cstheme="majorBidi"/>
          <w:sz w:val="24"/>
          <w:szCs w:val="24"/>
          <w:lang w:bidi="fa-IR"/>
        </w:rPr>
      </w:pPr>
    </w:p>
    <w:p w14:paraId="2C09F8D6" w14:textId="159C0695" w:rsidR="00AE798A" w:rsidRDefault="00AE798A" w:rsidP="001A5D6E">
      <w:pPr>
        <w:spacing w:line="480" w:lineRule="auto"/>
        <w:rPr>
          <w:rFonts w:asciiTheme="majorBidi" w:hAnsiTheme="majorBidi" w:cstheme="majorBidi"/>
          <w:sz w:val="24"/>
          <w:szCs w:val="24"/>
          <w:lang w:bidi="fa-IR"/>
        </w:rPr>
      </w:pPr>
    </w:p>
    <w:p w14:paraId="0B3B25B1" w14:textId="77777777" w:rsidR="001A5D6E" w:rsidRDefault="001A5D6E" w:rsidP="001A5D6E">
      <w:pPr>
        <w:spacing w:line="480" w:lineRule="auto"/>
        <w:rPr>
          <w:rFonts w:asciiTheme="majorBidi" w:hAnsiTheme="majorBidi" w:cstheme="majorBidi"/>
          <w:sz w:val="24"/>
          <w:szCs w:val="24"/>
          <w:lang w:bidi="fa-IR"/>
        </w:rPr>
      </w:pPr>
    </w:p>
    <w:p w14:paraId="60C1300D" w14:textId="77777777" w:rsidR="001A5D6E" w:rsidRDefault="001A5D6E" w:rsidP="001A5D6E">
      <w:pPr>
        <w:spacing w:line="480" w:lineRule="auto"/>
        <w:rPr>
          <w:rFonts w:asciiTheme="majorBidi" w:hAnsiTheme="majorBidi" w:cstheme="majorBidi"/>
          <w:sz w:val="24"/>
          <w:szCs w:val="24"/>
          <w:lang w:bidi="fa-IR"/>
        </w:rPr>
      </w:pPr>
    </w:p>
    <w:p w14:paraId="0C0599AD" w14:textId="77777777" w:rsidR="001A5D6E" w:rsidRDefault="001A5D6E" w:rsidP="001A5D6E">
      <w:pPr>
        <w:spacing w:line="480" w:lineRule="auto"/>
        <w:rPr>
          <w:rFonts w:asciiTheme="majorBidi" w:hAnsiTheme="majorBidi" w:cstheme="majorBidi"/>
          <w:sz w:val="24"/>
          <w:szCs w:val="24"/>
          <w:lang w:bidi="fa-IR"/>
        </w:rPr>
      </w:pPr>
    </w:p>
    <w:p w14:paraId="6C109046" w14:textId="77777777" w:rsidR="001A5D6E" w:rsidRDefault="001A5D6E" w:rsidP="001A5D6E">
      <w:pPr>
        <w:spacing w:line="480" w:lineRule="auto"/>
        <w:rPr>
          <w:rFonts w:asciiTheme="majorBidi" w:hAnsiTheme="majorBidi" w:cstheme="majorBidi"/>
          <w:sz w:val="24"/>
          <w:szCs w:val="24"/>
          <w:lang w:bidi="fa-IR"/>
        </w:rPr>
      </w:pPr>
    </w:p>
    <w:p w14:paraId="6DB88935" w14:textId="77777777" w:rsidR="001A5D6E" w:rsidRDefault="001A5D6E" w:rsidP="001A5D6E">
      <w:pPr>
        <w:spacing w:line="480" w:lineRule="auto"/>
        <w:rPr>
          <w:rFonts w:asciiTheme="majorBidi" w:hAnsiTheme="majorBidi" w:cstheme="majorBidi"/>
          <w:sz w:val="24"/>
          <w:szCs w:val="24"/>
          <w:lang w:bidi="fa-IR"/>
        </w:rPr>
      </w:pPr>
    </w:p>
    <w:p w14:paraId="23DC8278" w14:textId="77777777" w:rsidR="001A5D6E" w:rsidRDefault="001A5D6E" w:rsidP="001A5D6E">
      <w:pPr>
        <w:spacing w:line="480" w:lineRule="auto"/>
        <w:rPr>
          <w:rFonts w:asciiTheme="majorBidi" w:hAnsiTheme="majorBidi" w:cstheme="majorBidi"/>
          <w:sz w:val="24"/>
          <w:szCs w:val="24"/>
          <w:lang w:bidi="fa-IR"/>
        </w:rPr>
      </w:pPr>
    </w:p>
    <w:p w14:paraId="75F4C194" w14:textId="77777777" w:rsidR="001A5D6E" w:rsidRDefault="001A5D6E" w:rsidP="001A5D6E">
      <w:pPr>
        <w:spacing w:line="480" w:lineRule="auto"/>
        <w:rPr>
          <w:rFonts w:asciiTheme="majorBidi" w:hAnsiTheme="majorBidi" w:cstheme="majorBidi"/>
          <w:sz w:val="24"/>
          <w:szCs w:val="24"/>
          <w:lang w:bidi="fa-IR"/>
        </w:rPr>
      </w:pPr>
    </w:p>
    <w:p w14:paraId="7C4D54E9" w14:textId="77777777" w:rsidR="001A5D6E" w:rsidRDefault="001A5D6E" w:rsidP="001A5D6E">
      <w:pPr>
        <w:spacing w:line="480" w:lineRule="auto"/>
        <w:rPr>
          <w:rFonts w:asciiTheme="majorBidi" w:hAnsiTheme="majorBidi" w:cstheme="majorBidi"/>
          <w:sz w:val="24"/>
          <w:szCs w:val="24"/>
          <w:lang w:bidi="fa-IR"/>
        </w:rPr>
      </w:pPr>
    </w:p>
    <w:p w14:paraId="754B5E4C" w14:textId="77777777" w:rsidR="001A5D6E" w:rsidRDefault="001A5D6E" w:rsidP="001A5D6E">
      <w:pPr>
        <w:spacing w:line="480" w:lineRule="auto"/>
        <w:rPr>
          <w:rFonts w:asciiTheme="majorBidi" w:hAnsiTheme="majorBidi" w:cstheme="majorBidi"/>
          <w:sz w:val="24"/>
          <w:szCs w:val="24"/>
          <w:lang w:bidi="fa-IR"/>
        </w:rPr>
      </w:pPr>
    </w:p>
    <w:p w14:paraId="1DB537A1" w14:textId="77777777" w:rsidR="00AE798A" w:rsidRPr="00037180" w:rsidRDefault="00AE798A" w:rsidP="00037180">
      <w:pPr>
        <w:spacing w:line="480" w:lineRule="auto"/>
        <w:ind w:firstLine="720"/>
        <w:rPr>
          <w:rFonts w:asciiTheme="majorBidi" w:hAnsiTheme="majorBidi" w:cstheme="majorBidi"/>
          <w:sz w:val="24"/>
          <w:szCs w:val="24"/>
          <w:lang w:bidi="fa-IR"/>
        </w:rPr>
      </w:pPr>
    </w:p>
    <w:p w14:paraId="251FC10B" w14:textId="77777777" w:rsidR="0002629E" w:rsidRPr="0098127B" w:rsidRDefault="0002629E" w:rsidP="0002629E">
      <w:pPr>
        <w:spacing w:line="480" w:lineRule="auto"/>
        <w:rPr>
          <w:rFonts w:asciiTheme="majorBidi" w:hAnsiTheme="majorBidi" w:cstheme="majorBidi"/>
          <w:b/>
          <w:bCs/>
          <w:sz w:val="24"/>
          <w:szCs w:val="24"/>
        </w:rPr>
      </w:pPr>
      <w:r w:rsidRPr="0098127B">
        <w:rPr>
          <w:rFonts w:asciiTheme="majorBidi" w:hAnsiTheme="majorBidi" w:cstheme="majorBidi"/>
          <w:b/>
          <w:bCs/>
          <w:sz w:val="24"/>
          <w:szCs w:val="24"/>
        </w:rPr>
        <w:lastRenderedPageBreak/>
        <w:t>References</w:t>
      </w:r>
    </w:p>
    <w:p w14:paraId="6AB22517" w14:textId="77777777" w:rsidR="003C5F20" w:rsidRPr="0098127B" w:rsidRDefault="003C5F20" w:rsidP="006168EA">
      <w:pPr>
        <w:spacing w:line="480" w:lineRule="auto"/>
        <w:ind w:left="720" w:hanging="720"/>
        <w:rPr>
          <w:rFonts w:asciiTheme="majorBidi" w:hAnsiTheme="majorBidi" w:cstheme="majorBidi"/>
          <w:sz w:val="24"/>
          <w:szCs w:val="24"/>
        </w:rPr>
      </w:pPr>
      <w:bookmarkStart w:id="6" w:name="_Hlk198922961"/>
      <w:r w:rsidRPr="0098127B">
        <w:rPr>
          <w:rFonts w:asciiTheme="majorBidi" w:hAnsiTheme="majorBidi" w:cstheme="majorBidi"/>
          <w:sz w:val="24"/>
          <w:szCs w:val="24"/>
        </w:rPr>
        <w:t>AbdelWahab, M. M. (2013). Developing an English language textbook evaluative checklist. </w:t>
      </w:r>
      <w:r w:rsidRPr="0098127B">
        <w:rPr>
          <w:rFonts w:asciiTheme="majorBidi" w:hAnsiTheme="majorBidi" w:cstheme="majorBidi"/>
          <w:i/>
          <w:iCs/>
          <w:sz w:val="24"/>
          <w:szCs w:val="24"/>
        </w:rPr>
        <w:t>IOSR Journal of Research &amp; Method in Education</w:t>
      </w:r>
      <w:r w:rsidRPr="0098127B">
        <w:rPr>
          <w:rFonts w:asciiTheme="majorBidi" w:hAnsiTheme="majorBidi" w:cstheme="majorBidi"/>
          <w:sz w:val="24"/>
          <w:szCs w:val="24"/>
        </w:rPr>
        <w:t>, </w:t>
      </w:r>
      <w:r w:rsidRPr="0098127B">
        <w:rPr>
          <w:rFonts w:asciiTheme="majorBidi" w:hAnsiTheme="majorBidi" w:cstheme="majorBidi"/>
          <w:i/>
          <w:iCs/>
          <w:sz w:val="24"/>
          <w:szCs w:val="24"/>
        </w:rPr>
        <w:t>1</w:t>
      </w:r>
      <w:r w:rsidRPr="0098127B">
        <w:rPr>
          <w:rFonts w:asciiTheme="majorBidi" w:hAnsiTheme="majorBidi" w:cstheme="majorBidi"/>
          <w:sz w:val="24"/>
          <w:szCs w:val="24"/>
        </w:rPr>
        <w:t xml:space="preserve">(3), 55-70. </w:t>
      </w:r>
      <w:hyperlink r:id="rId11" w:history="1">
        <w:r w:rsidRPr="0098127B">
          <w:rPr>
            <w:rStyle w:val="Hyperlink"/>
            <w:rFonts w:asciiTheme="majorBidi" w:hAnsiTheme="majorBidi" w:cstheme="majorBidi"/>
            <w:sz w:val="24"/>
            <w:szCs w:val="24"/>
          </w:rPr>
          <w:t>https://doi.org/10.77607/jlsr.1709.23</w:t>
        </w:r>
      </w:hyperlink>
    </w:p>
    <w:p w14:paraId="4F45D6AB" w14:textId="77777777" w:rsidR="003C5F20" w:rsidRPr="0098127B" w:rsidRDefault="003C5F20" w:rsidP="006168EA">
      <w:pPr>
        <w:spacing w:line="480" w:lineRule="auto"/>
        <w:ind w:left="720" w:hanging="720"/>
        <w:rPr>
          <w:rFonts w:asciiTheme="majorBidi" w:hAnsiTheme="majorBidi" w:cstheme="majorBidi"/>
          <w:sz w:val="24"/>
          <w:szCs w:val="24"/>
        </w:rPr>
      </w:pPr>
      <w:bookmarkStart w:id="7" w:name="_Hlk206527850"/>
      <w:r w:rsidRPr="0098127B">
        <w:rPr>
          <w:rFonts w:asciiTheme="majorBidi" w:hAnsiTheme="majorBidi" w:cstheme="majorBidi"/>
          <w:sz w:val="24"/>
          <w:szCs w:val="24"/>
        </w:rPr>
        <w:t>Ahmad</w:t>
      </w:r>
      <w:bookmarkEnd w:id="7"/>
      <w:r w:rsidRPr="0098127B">
        <w:rPr>
          <w:rFonts w:asciiTheme="majorBidi" w:hAnsiTheme="majorBidi" w:cstheme="majorBidi"/>
          <w:sz w:val="24"/>
          <w:szCs w:val="24"/>
        </w:rPr>
        <w:t>, K., Sadia, S., &amp; Alam, M. (2025). Exam-driven pedagogy: the washback effect of HSSC-ELE on English language teaching in Kohat district, Pakistan. </w:t>
      </w:r>
      <w:r w:rsidRPr="0098127B">
        <w:rPr>
          <w:rFonts w:asciiTheme="majorBidi" w:hAnsiTheme="majorBidi" w:cstheme="majorBidi"/>
          <w:i/>
          <w:iCs/>
          <w:sz w:val="24"/>
          <w:szCs w:val="24"/>
        </w:rPr>
        <w:t>ASSAJ</w:t>
      </w:r>
      <w:r w:rsidRPr="0098127B">
        <w:rPr>
          <w:rFonts w:asciiTheme="majorBidi" w:hAnsiTheme="majorBidi" w:cstheme="majorBidi"/>
          <w:sz w:val="24"/>
          <w:szCs w:val="24"/>
        </w:rPr>
        <w:t>, </w:t>
      </w:r>
      <w:r w:rsidRPr="0098127B">
        <w:rPr>
          <w:rFonts w:asciiTheme="majorBidi" w:hAnsiTheme="majorBidi" w:cstheme="majorBidi"/>
          <w:i/>
          <w:iCs/>
          <w:sz w:val="24"/>
          <w:szCs w:val="24"/>
        </w:rPr>
        <w:t>3</w:t>
      </w:r>
      <w:r w:rsidRPr="0098127B">
        <w:rPr>
          <w:rFonts w:asciiTheme="majorBidi" w:hAnsiTheme="majorBidi" w:cstheme="majorBidi"/>
          <w:sz w:val="24"/>
          <w:szCs w:val="24"/>
        </w:rPr>
        <w:t xml:space="preserve">(1), 1128-1137. </w:t>
      </w:r>
      <w:hyperlink r:id="rId12" w:history="1">
        <w:r w:rsidRPr="0098127B">
          <w:rPr>
            <w:rStyle w:val="Hyperlink"/>
            <w:rFonts w:asciiTheme="majorBidi" w:hAnsiTheme="majorBidi" w:cstheme="majorBidi"/>
            <w:sz w:val="24"/>
            <w:szCs w:val="24"/>
          </w:rPr>
          <w:t>https://assajournal.com/index.php/36/article/view/236</w:t>
        </w:r>
      </w:hyperlink>
      <w:r w:rsidRPr="0098127B">
        <w:rPr>
          <w:rFonts w:asciiTheme="majorBidi" w:hAnsiTheme="majorBidi" w:cstheme="majorBidi"/>
          <w:sz w:val="24"/>
          <w:szCs w:val="24"/>
        </w:rPr>
        <w:t xml:space="preserve"> </w:t>
      </w:r>
    </w:p>
    <w:p w14:paraId="45494CDD"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Ahmadi, A., &amp; Derakhshan, A. (2016). EFL teachers' perceptions towards textbook evaluation. </w:t>
      </w:r>
      <w:r w:rsidRPr="0098127B">
        <w:rPr>
          <w:rFonts w:asciiTheme="majorBidi" w:hAnsiTheme="majorBidi" w:cstheme="majorBidi"/>
          <w:i/>
          <w:iCs/>
          <w:sz w:val="24"/>
          <w:szCs w:val="24"/>
        </w:rPr>
        <w:t>Theory and Practice in Language Studies</w:t>
      </w:r>
      <w:r w:rsidRPr="0098127B">
        <w:rPr>
          <w:rFonts w:asciiTheme="majorBidi" w:hAnsiTheme="majorBidi" w:cstheme="majorBidi"/>
          <w:sz w:val="24"/>
          <w:szCs w:val="24"/>
        </w:rPr>
        <w:t>, </w:t>
      </w:r>
      <w:r w:rsidRPr="0098127B">
        <w:rPr>
          <w:rFonts w:asciiTheme="majorBidi" w:hAnsiTheme="majorBidi" w:cstheme="majorBidi"/>
          <w:i/>
          <w:iCs/>
          <w:sz w:val="24"/>
          <w:szCs w:val="24"/>
        </w:rPr>
        <w:t>6</w:t>
      </w:r>
      <w:r w:rsidRPr="0098127B">
        <w:rPr>
          <w:rFonts w:asciiTheme="majorBidi" w:hAnsiTheme="majorBidi" w:cstheme="majorBidi"/>
          <w:sz w:val="24"/>
          <w:szCs w:val="24"/>
        </w:rPr>
        <w:t xml:space="preserve">(2), 260-267. </w:t>
      </w:r>
      <w:hyperlink r:id="rId13" w:history="1">
        <w:r w:rsidRPr="0098127B">
          <w:rPr>
            <w:rStyle w:val="Hyperlink"/>
            <w:rFonts w:asciiTheme="majorBidi" w:hAnsiTheme="majorBidi" w:cstheme="majorBidi"/>
            <w:sz w:val="24"/>
            <w:szCs w:val="24"/>
          </w:rPr>
          <w:t>http://dx.doi.org/10.17507/tpls.0602.06</w:t>
        </w:r>
      </w:hyperlink>
      <w:r w:rsidRPr="0098127B">
        <w:rPr>
          <w:rFonts w:asciiTheme="majorBidi" w:hAnsiTheme="majorBidi" w:cstheme="majorBidi"/>
          <w:sz w:val="24"/>
          <w:szCs w:val="24"/>
        </w:rPr>
        <w:t xml:space="preserve"> </w:t>
      </w:r>
    </w:p>
    <w:p w14:paraId="2816A5F5"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Ajideh, P., &amp; Panahi, M. (2016). An analysis of culture-related content in English textbooks for Iranian students entitled ‘</w:t>
      </w:r>
      <w:r w:rsidRPr="0098127B">
        <w:rPr>
          <w:rFonts w:asciiTheme="majorBidi" w:hAnsiTheme="majorBidi" w:cstheme="majorBidi"/>
          <w:i/>
          <w:iCs/>
          <w:sz w:val="24"/>
          <w:szCs w:val="24"/>
        </w:rPr>
        <w:t>Prospect</w:t>
      </w:r>
      <w:r w:rsidRPr="0098127B">
        <w:rPr>
          <w:rFonts w:asciiTheme="majorBidi" w:hAnsiTheme="majorBidi" w:cstheme="majorBidi"/>
          <w:sz w:val="24"/>
          <w:szCs w:val="24"/>
        </w:rPr>
        <w:t>’ and ‘</w:t>
      </w:r>
      <w:r w:rsidRPr="0098127B">
        <w:rPr>
          <w:rFonts w:asciiTheme="majorBidi" w:hAnsiTheme="majorBidi" w:cstheme="majorBidi"/>
          <w:i/>
          <w:iCs/>
          <w:sz w:val="24"/>
          <w:szCs w:val="24"/>
        </w:rPr>
        <w:t>Vision</w:t>
      </w:r>
      <w:r w:rsidRPr="0098127B">
        <w:rPr>
          <w:rFonts w:asciiTheme="majorBidi" w:hAnsiTheme="majorBidi" w:cstheme="majorBidi"/>
          <w:sz w:val="24"/>
          <w:szCs w:val="24"/>
        </w:rPr>
        <w:t>’ series. </w:t>
      </w:r>
      <w:r w:rsidRPr="0098127B">
        <w:rPr>
          <w:rFonts w:asciiTheme="majorBidi" w:hAnsiTheme="majorBidi" w:cstheme="majorBidi"/>
          <w:i/>
          <w:iCs/>
          <w:sz w:val="24"/>
          <w:szCs w:val="24"/>
        </w:rPr>
        <w:t>International Journal of Language and Linguistics</w:t>
      </w:r>
      <w:r w:rsidRPr="0098127B">
        <w:rPr>
          <w:rFonts w:asciiTheme="majorBidi" w:hAnsiTheme="majorBidi" w:cstheme="majorBidi"/>
          <w:sz w:val="24"/>
          <w:szCs w:val="24"/>
        </w:rPr>
        <w:t>, </w:t>
      </w:r>
      <w:r w:rsidRPr="0098127B">
        <w:rPr>
          <w:rFonts w:asciiTheme="majorBidi" w:hAnsiTheme="majorBidi" w:cstheme="majorBidi"/>
          <w:i/>
          <w:iCs/>
          <w:sz w:val="24"/>
          <w:szCs w:val="24"/>
        </w:rPr>
        <w:t>3</w:t>
      </w:r>
      <w:r w:rsidRPr="0098127B">
        <w:rPr>
          <w:rFonts w:asciiTheme="majorBidi" w:hAnsiTheme="majorBidi" w:cstheme="majorBidi"/>
          <w:sz w:val="24"/>
          <w:szCs w:val="24"/>
        </w:rPr>
        <w:t>(6), 87-93.</w:t>
      </w:r>
    </w:p>
    <w:p w14:paraId="07E98285"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Alrickaby, A. (2024). A Reading in the History of English Language Education in Iraq. </w:t>
      </w:r>
      <w:r w:rsidRPr="0098127B">
        <w:rPr>
          <w:rFonts w:asciiTheme="majorBidi" w:hAnsiTheme="majorBidi" w:cstheme="majorBidi"/>
          <w:i/>
          <w:iCs/>
          <w:sz w:val="24"/>
          <w:szCs w:val="24"/>
        </w:rPr>
        <w:t>Bulletin of Advanced English Studies</w:t>
      </w:r>
      <w:r w:rsidRPr="0098127B">
        <w:rPr>
          <w:rFonts w:asciiTheme="majorBidi" w:hAnsiTheme="majorBidi" w:cstheme="majorBidi"/>
          <w:sz w:val="24"/>
          <w:szCs w:val="24"/>
        </w:rPr>
        <w:t>, </w:t>
      </w:r>
      <w:r w:rsidRPr="0098127B">
        <w:rPr>
          <w:rFonts w:asciiTheme="majorBidi" w:hAnsiTheme="majorBidi" w:cstheme="majorBidi"/>
          <w:i/>
          <w:iCs/>
          <w:sz w:val="24"/>
          <w:szCs w:val="24"/>
        </w:rPr>
        <w:t>9</w:t>
      </w:r>
      <w:r w:rsidRPr="0098127B">
        <w:rPr>
          <w:rFonts w:asciiTheme="majorBidi" w:hAnsiTheme="majorBidi" w:cstheme="majorBidi"/>
          <w:sz w:val="24"/>
          <w:szCs w:val="24"/>
        </w:rPr>
        <w:t xml:space="preserve">(1), 1-15. </w:t>
      </w:r>
      <w:hyperlink r:id="rId14" w:history="1">
        <w:r w:rsidRPr="0098127B">
          <w:rPr>
            <w:rStyle w:val="Hyperlink"/>
            <w:rFonts w:asciiTheme="majorBidi" w:hAnsiTheme="majorBidi" w:cstheme="majorBidi"/>
            <w:sz w:val="24"/>
            <w:szCs w:val="24"/>
          </w:rPr>
          <w:t>https://doi.org/10.31559/BAES2024.9.1.3</w:t>
        </w:r>
      </w:hyperlink>
    </w:p>
    <w:p w14:paraId="69A9B07B"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Al-Samarraie, H., Ghazal, S., Alzahrani, A. I., &amp; Moody, L. (2020). Telemedicine in Middle Eastern countries: Progress, barriers, and policy recommendations. </w:t>
      </w:r>
      <w:r w:rsidRPr="0098127B">
        <w:rPr>
          <w:rFonts w:asciiTheme="majorBidi" w:hAnsiTheme="majorBidi" w:cstheme="majorBidi"/>
          <w:i/>
          <w:iCs/>
          <w:sz w:val="24"/>
          <w:szCs w:val="24"/>
        </w:rPr>
        <w:t>International journal of medical informatics</w:t>
      </w:r>
      <w:r w:rsidRPr="0098127B">
        <w:rPr>
          <w:rFonts w:asciiTheme="majorBidi" w:hAnsiTheme="majorBidi" w:cstheme="majorBidi"/>
          <w:sz w:val="24"/>
          <w:szCs w:val="24"/>
        </w:rPr>
        <w:t>, </w:t>
      </w:r>
      <w:r w:rsidRPr="0098127B">
        <w:rPr>
          <w:rFonts w:asciiTheme="majorBidi" w:hAnsiTheme="majorBidi" w:cstheme="majorBidi"/>
          <w:i/>
          <w:iCs/>
          <w:sz w:val="24"/>
          <w:szCs w:val="24"/>
        </w:rPr>
        <w:t>141</w:t>
      </w:r>
      <w:r w:rsidRPr="0098127B">
        <w:rPr>
          <w:rFonts w:asciiTheme="majorBidi" w:hAnsiTheme="majorBidi" w:cstheme="majorBidi"/>
          <w:sz w:val="24"/>
          <w:szCs w:val="24"/>
        </w:rPr>
        <w:t xml:space="preserve">, 104232. </w:t>
      </w:r>
      <w:hyperlink r:id="rId15" w:history="1">
        <w:r w:rsidRPr="0098127B">
          <w:rPr>
            <w:rStyle w:val="Hyperlink"/>
            <w:rFonts w:asciiTheme="majorBidi" w:hAnsiTheme="majorBidi" w:cstheme="majorBidi"/>
            <w:sz w:val="24"/>
            <w:szCs w:val="24"/>
          </w:rPr>
          <w:t>https://doi.org/10.1016/j.ijmedinf.2020.104232</w:t>
        </w:r>
      </w:hyperlink>
      <w:r w:rsidRPr="0098127B">
        <w:rPr>
          <w:rFonts w:asciiTheme="majorBidi" w:hAnsiTheme="majorBidi" w:cstheme="majorBidi"/>
          <w:sz w:val="24"/>
          <w:szCs w:val="24"/>
        </w:rPr>
        <w:t xml:space="preserve"> </w:t>
      </w:r>
    </w:p>
    <w:p w14:paraId="2DE456A5" w14:textId="77777777" w:rsidR="003C5F20" w:rsidRPr="0098127B" w:rsidRDefault="003C5F20" w:rsidP="006168EA">
      <w:pPr>
        <w:spacing w:line="480" w:lineRule="auto"/>
        <w:ind w:left="720" w:hanging="720"/>
        <w:rPr>
          <w:rFonts w:asciiTheme="majorBidi" w:hAnsiTheme="majorBidi" w:cstheme="majorBidi"/>
          <w:sz w:val="24"/>
          <w:szCs w:val="24"/>
        </w:rPr>
      </w:pPr>
      <w:bookmarkStart w:id="8" w:name="_Hlk206430943"/>
      <w:r w:rsidRPr="0098127B">
        <w:rPr>
          <w:rFonts w:asciiTheme="majorBidi" w:hAnsiTheme="majorBidi" w:cstheme="majorBidi"/>
          <w:sz w:val="24"/>
          <w:szCs w:val="24"/>
        </w:rPr>
        <w:t>Altae</w:t>
      </w:r>
      <w:bookmarkEnd w:id="8"/>
      <w:r w:rsidRPr="0098127B">
        <w:rPr>
          <w:rFonts w:asciiTheme="majorBidi" w:hAnsiTheme="majorBidi" w:cstheme="majorBidi"/>
          <w:sz w:val="24"/>
          <w:szCs w:val="24"/>
        </w:rPr>
        <w:t>, M. (2020). An overview of the stages of development of the Iraqi English language curriculum. </w:t>
      </w:r>
      <w:r w:rsidRPr="0098127B">
        <w:rPr>
          <w:rFonts w:asciiTheme="majorBidi" w:hAnsiTheme="majorBidi" w:cstheme="majorBidi"/>
          <w:i/>
          <w:iCs/>
          <w:sz w:val="24"/>
          <w:szCs w:val="24"/>
        </w:rPr>
        <w:t>Social Sciences &amp; Humanities Open</w:t>
      </w:r>
      <w:r w:rsidRPr="0098127B">
        <w:rPr>
          <w:rFonts w:asciiTheme="majorBidi" w:hAnsiTheme="majorBidi" w:cstheme="majorBidi"/>
          <w:sz w:val="24"/>
          <w:szCs w:val="24"/>
        </w:rPr>
        <w:t>, </w:t>
      </w:r>
      <w:r w:rsidRPr="0098127B">
        <w:rPr>
          <w:rFonts w:asciiTheme="majorBidi" w:hAnsiTheme="majorBidi" w:cstheme="majorBidi"/>
          <w:i/>
          <w:iCs/>
          <w:sz w:val="24"/>
          <w:szCs w:val="24"/>
        </w:rPr>
        <w:t>2</w:t>
      </w:r>
      <w:r w:rsidRPr="0098127B">
        <w:rPr>
          <w:rFonts w:asciiTheme="majorBidi" w:hAnsiTheme="majorBidi" w:cstheme="majorBidi"/>
          <w:sz w:val="24"/>
          <w:szCs w:val="24"/>
        </w:rPr>
        <w:t xml:space="preserve">(1), 10-47. </w:t>
      </w:r>
      <w:hyperlink r:id="rId16" w:tgtFrame="_blank" w:tooltip="Persistent link using digital object identifier" w:history="1">
        <w:r w:rsidRPr="0098127B">
          <w:rPr>
            <w:rStyle w:val="Hyperlink"/>
            <w:rFonts w:asciiTheme="majorBidi" w:hAnsiTheme="majorBidi" w:cstheme="majorBidi"/>
            <w:sz w:val="24"/>
            <w:szCs w:val="24"/>
          </w:rPr>
          <w:t>https://doi.org/10.1016/j.ssaho.2020.100047</w:t>
        </w:r>
      </w:hyperlink>
      <w:r w:rsidRPr="0098127B">
        <w:rPr>
          <w:rFonts w:asciiTheme="majorBidi" w:hAnsiTheme="majorBidi" w:cstheme="majorBidi"/>
          <w:sz w:val="24"/>
          <w:szCs w:val="24"/>
        </w:rPr>
        <w:t xml:space="preserve"> </w:t>
      </w:r>
    </w:p>
    <w:p w14:paraId="2BDCCA5D" w14:textId="21116B94" w:rsidR="003C5F20" w:rsidRPr="0098127B" w:rsidRDefault="003C5F20" w:rsidP="006168EA">
      <w:pPr>
        <w:spacing w:line="480" w:lineRule="auto"/>
        <w:ind w:left="720" w:hanging="720"/>
        <w:rPr>
          <w:rFonts w:asciiTheme="majorBidi" w:hAnsiTheme="majorBidi" w:cstheme="majorBidi"/>
          <w:sz w:val="24"/>
          <w:szCs w:val="24"/>
        </w:rPr>
      </w:pPr>
      <w:bookmarkStart w:id="9" w:name="_Hlk206429396"/>
      <w:r w:rsidRPr="0098127B">
        <w:rPr>
          <w:rFonts w:asciiTheme="majorBidi" w:hAnsiTheme="majorBidi" w:cstheme="majorBidi"/>
          <w:sz w:val="24"/>
          <w:szCs w:val="24"/>
        </w:rPr>
        <w:lastRenderedPageBreak/>
        <w:t>Al-Tamimi</w:t>
      </w:r>
      <w:bookmarkEnd w:id="9"/>
      <w:r w:rsidRPr="0098127B">
        <w:rPr>
          <w:rFonts w:asciiTheme="majorBidi" w:hAnsiTheme="majorBidi" w:cstheme="majorBidi"/>
          <w:sz w:val="24"/>
          <w:szCs w:val="24"/>
        </w:rPr>
        <w:t>, A. M. S., Al-Shamiri, N. O. T., &amp; AL-Dulimi, K. R. S. (2022). Integrated Accounting Education In Iraq Between Reality and Expectations: An Empirical Study. </w:t>
      </w:r>
      <w:r w:rsidRPr="0098127B">
        <w:rPr>
          <w:rFonts w:asciiTheme="majorBidi" w:hAnsiTheme="majorBidi" w:cstheme="majorBidi"/>
          <w:i/>
          <w:iCs/>
          <w:sz w:val="24"/>
          <w:szCs w:val="24"/>
        </w:rPr>
        <w:t xml:space="preserve">Akkad Journal </w:t>
      </w:r>
      <w:r w:rsidR="008715B9" w:rsidRPr="0098127B">
        <w:rPr>
          <w:rFonts w:asciiTheme="majorBidi" w:hAnsiTheme="majorBidi" w:cstheme="majorBidi"/>
          <w:i/>
          <w:iCs/>
          <w:sz w:val="24"/>
          <w:szCs w:val="24"/>
        </w:rPr>
        <w:t>of</w:t>
      </w:r>
      <w:r w:rsidRPr="0098127B">
        <w:rPr>
          <w:rFonts w:asciiTheme="majorBidi" w:hAnsiTheme="majorBidi" w:cstheme="majorBidi"/>
          <w:i/>
          <w:iCs/>
          <w:sz w:val="24"/>
          <w:szCs w:val="24"/>
        </w:rPr>
        <w:t xml:space="preserve"> Contemporary Accounting Studies</w:t>
      </w:r>
      <w:r w:rsidRPr="0098127B">
        <w:rPr>
          <w:rFonts w:asciiTheme="majorBidi" w:hAnsiTheme="majorBidi" w:cstheme="majorBidi"/>
          <w:sz w:val="24"/>
          <w:szCs w:val="24"/>
        </w:rPr>
        <w:t>, </w:t>
      </w:r>
      <w:r w:rsidRPr="0098127B">
        <w:rPr>
          <w:rFonts w:asciiTheme="majorBidi" w:hAnsiTheme="majorBidi" w:cstheme="majorBidi"/>
          <w:i/>
          <w:iCs/>
          <w:sz w:val="24"/>
          <w:szCs w:val="24"/>
        </w:rPr>
        <w:t>2</w:t>
      </w:r>
      <w:r w:rsidRPr="0098127B">
        <w:rPr>
          <w:rFonts w:asciiTheme="majorBidi" w:hAnsiTheme="majorBidi" w:cstheme="majorBidi"/>
          <w:sz w:val="24"/>
          <w:szCs w:val="24"/>
        </w:rPr>
        <w:t xml:space="preserve">(1), 1-19. </w:t>
      </w:r>
      <w:hyperlink r:id="rId17" w:history="1">
        <w:r w:rsidRPr="0098127B">
          <w:rPr>
            <w:rStyle w:val="Hyperlink"/>
            <w:rFonts w:asciiTheme="majorBidi" w:hAnsiTheme="majorBidi" w:cstheme="majorBidi"/>
            <w:sz w:val="24"/>
            <w:szCs w:val="24"/>
          </w:rPr>
          <w:t>https://doi.org/10.55202/ajcas.v2i1.106</w:t>
        </w:r>
      </w:hyperlink>
      <w:r w:rsidRPr="0098127B">
        <w:rPr>
          <w:rFonts w:asciiTheme="majorBidi" w:hAnsiTheme="majorBidi" w:cstheme="majorBidi"/>
          <w:sz w:val="24"/>
          <w:szCs w:val="24"/>
        </w:rPr>
        <w:t xml:space="preserve"> </w:t>
      </w:r>
    </w:p>
    <w:p w14:paraId="504C2421"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Amin, M. Y. M. (2017). English language teaching methods and reforms in English curriculum in Iraq; an overview. </w:t>
      </w:r>
      <w:r w:rsidRPr="0098127B">
        <w:rPr>
          <w:rFonts w:asciiTheme="majorBidi" w:hAnsiTheme="majorBidi" w:cstheme="majorBidi"/>
          <w:i/>
          <w:iCs/>
          <w:sz w:val="24"/>
          <w:szCs w:val="24"/>
        </w:rPr>
        <w:t>Journal of University of Human Development</w:t>
      </w:r>
      <w:r w:rsidRPr="0098127B">
        <w:rPr>
          <w:rFonts w:asciiTheme="majorBidi" w:hAnsiTheme="majorBidi" w:cstheme="majorBidi"/>
          <w:sz w:val="24"/>
          <w:szCs w:val="24"/>
        </w:rPr>
        <w:t>, </w:t>
      </w:r>
      <w:r w:rsidRPr="0098127B">
        <w:rPr>
          <w:rFonts w:asciiTheme="majorBidi" w:hAnsiTheme="majorBidi" w:cstheme="majorBidi"/>
          <w:i/>
          <w:iCs/>
          <w:sz w:val="24"/>
          <w:szCs w:val="24"/>
        </w:rPr>
        <w:t>3</w:t>
      </w:r>
      <w:r w:rsidRPr="0098127B">
        <w:rPr>
          <w:rFonts w:asciiTheme="majorBidi" w:hAnsiTheme="majorBidi" w:cstheme="majorBidi"/>
          <w:sz w:val="24"/>
          <w:szCs w:val="24"/>
        </w:rPr>
        <w:t xml:space="preserve">(3), 578-583. </w:t>
      </w:r>
      <w:hyperlink r:id="rId18" w:history="1">
        <w:r w:rsidRPr="0098127B">
          <w:rPr>
            <w:rStyle w:val="Hyperlink"/>
            <w:rFonts w:asciiTheme="majorBidi" w:hAnsiTheme="majorBidi" w:cstheme="majorBidi"/>
            <w:sz w:val="24"/>
            <w:szCs w:val="24"/>
          </w:rPr>
          <w:t>https://doi.org/10.21928/juhd.v3n3y2017.pp578-583</w:t>
        </w:r>
      </w:hyperlink>
      <w:r w:rsidRPr="0098127B">
        <w:rPr>
          <w:rFonts w:asciiTheme="majorBidi" w:hAnsiTheme="majorBidi" w:cstheme="majorBidi"/>
          <w:sz w:val="24"/>
          <w:szCs w:val="24"/>
        </w:rPr>
        <w:t xml:space="preserve"> </w:t>
      </w:r>
    </w:p>
    <w:p w14:paraId="1412F7BC"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Anderson, R., Seibert, R., &amp; Wagner, J. (2020). </w:t>
      </w:r>
      <w:r w:rsidRPr="0098127B">
        <w:rPr>
          <w:rFonts w:asciiTheme="majorBidi" w:hAnsiTheme="majorBidi" w:cstheme="majorBidi"/>
          <w:i/>
          <w:iCs/>
          <w:sz w:val="24"/>
          <w:szCs w:val="24"/>
        </w:rPr>
        <w:t>Politics and Change in the Middle East</w:t>
      </w:r>
      <w:r w:rsidRPr="0098127B">
        <w:rPr>
          <w:rFonts w:asciiTheme="majorBidi" w:hAnsiTheme="majorBidi" w:cstheme="majorBidi"/>
          <w:sz w:val="24"/>
          <w:szCs w:val="24"/>
        </w:rPr>
        <w:t xml:space="preserve">. Routledge. </w:t>
      </w:r>
    </w:p>
    <w:p w14:paraId="36B6906F" w14:textId="77777777" w:rsidR="003C5F20" w:rsidRPr="0098127B" w:rsidRDefault="003C5F20" w:rsidP="006168EA">
      <w:pPr>
        <w:spacing w:line="480" w:lineRule="auto"/>
        <w:ind w:left="720" w:hanging="720"/>
        <w:rPr>
          <w:rFonts w:asciiTheme="majorBidi" w:hAnsiTheme="majorBidi" w:cstheme="majorBidi"/>
          <w:sz w:val="24"/>
          <w:szCs w:val="24"/>
        </w:rPr>
      </w:pPr>
      <w:bookmarkStart w:id="10" w:name="_Hlk206491178"/>
      <w:r w:rsidRPr="0098127B">
        <w:rPr>
          <w:rFonts w:asciiTheme="majorBidi" w:hAnsiTheme="majorBidi" w:cstheme="majorBidi"/>
          <w:sz w:val="24"/>
          <w:szCs w:val="24"/>
        </w:rPr>
        <w:t>Anonby, E., Gheitasi, M., &amp; Aliakbari, M. (2017, June). Revisiting language distribution in Ilam Province. In </w:t>
      </w:r>
      <w:r w:rsidRPr="0098127B">
        <w:rPr>
          <w:rFonts w:asciiTheme="majorBidi" w:hAnsiTheme="majorBidi" w:cstheme="majorBidi"/>
          <w:i/>
          <w:iCs/>
          <w:sz w:val="24"/>
          <w:szCs w:val="24"/>
        </w:rPr>
        <w:t xml:space="preserve">3rd International Conference on Kurdish Studies (ICKS3), </w:t>
      </w:r>
      <w:r w:rsidRPr="0098127B">
        <w:rPr>
          <w:rFonts w:asciiTheme="majorBidi" w:hAnsiTheme="majorBidi" w:cstheme="majorBidi"/>
          <w:sz w:val="24"/>
          <w:szCs w:val="24"/>
        </w:rPr>
        <w:t xml:space="preserve">University of Exeter. </w:t>
      </w:r>
      <w:hyperlink r:id="rId19" w:history="1">
        <w:r w:rsidRPr="0098127B">
          <w:rPr>
            <w:rStyle w:val="Hyperlink"/>
            <w:rFonts w:asciiTheme="majorBidi" w:hAnsiTheme="majorBidi" w:cstheme="majorBidi"/>
            <w:sz w:val="24"/>
            <w:szCs w:val="24"/>
          </w:rPr>
          <w:t>https://doi.org/10.1080/00210862.2019.1573135</w:t>
        </w:r>
      </w:hyperlink>
      <w:r w:rsidRPr="0098127B">
        <w:rPr>
          <w:rFonts w:asciiTheme="majorBidi" w:hAnsiTheme="majorBidi" w:cstheme="majorBidi"/>
          <w:sz w:val="24"/>
          <w:szCs w:val="24"/>
        </w:rPr>
        <w:t xml:space="preserve"> </w:t>
      </w:r>
    </w:p>
    <w:p w14:paraId="14CFC174"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Apple, M. W. (1992). The text and cultural politics. </w:t>
      </w:r>
      <w:r w:rsidRPr="0098127B">
        <w:rPr>
          <w:rFonts w:asciiTheme="majorBidi" w:hAnsiTheme="majorBidi" w:cstheme="majorBidi"/>
          <w:i/>
          <w:iCs/>
          <w:sz w:val="24"/>
          <w:szCs w:val="24"/>
        </w:rPr>
        <w:t>Educational Researcher</w:t>
      </w:r>
      <w:r w:rsidRPr="0098127B">
        <w:rPr>
          <w:rFonts w:asciiTheme="majorBidi" w:hAnsiTheme="majorBidi" w:cstheme="majorBidi"/>
          <w:sz w:val="24"/>
          <w:szCs w:val="24"/>
        </w:rPr>
        <w:t>, </w:t>
      </w:r>
      <w:r w:rsidRPr="0098127B">
        <w:rPr>
          <w:rFonts w:asciiTheme="majorBidi" w:hAnsiTheme="majorBidi" w:cstheme="majorBidi"/>
          <w:i/>
          <w:iCs/>
          <w:sz w:val="24"/>
          <w:szCs w:val="24"/>
        </w:rPr>
        <w:t>21</w:t>
      </w:r>
      <w:r w:rsidRPr="0098127B">
        <w:rPr>
          <w:rFonts w:asciiTheme="majorBidi" w:hAnsiTheme="majorBidi" w:cstheme="majorBidi"/>
          <w:sz w:val="24"/>
          <w:szCs w:val="24"/>
        </w:rPr>
        <w:t xml:space="preserve">(7), 4–19. </w:t>
      </w:r>
      <w:hyperlink r:id="rId20" w:history="1">
        <w:r w:rsidRPr="0098127B">
          <w:rPr>
            <w:rStyle w:val="Hyperlink"/>
            <w:rFonts w:asciiTheme="majorBidi" w:hAnsiTheme="majorBidi" w:cstheme="majorBidi"/>
            <w:sz w:val="24"/>
            <w:szCs w:val="24"/>
          </w:rPr>
          <w:t>https://doi.org/10.3102/0013189X021007004</w:t>
        </w:r>
      </w:hyperlink>
      <w:r w:rsidRPr="0098127B">
        <w:rPr>
          <w:rFonts w:asciiTheme="majorBidi" w:hAnsiTheme="majorBidi" w:cstheme="majorBidi"/>
          <w:sz w:val="24"/>
          <w:szCs w:val="24"/>
        </w:rPr>
        <w:t xml:space="preserve"> </w:t>
      </w:r>
    </w:p>
    <w:bookmarkEnd w:id="10"/>
    <w:p w14:paraId="013D2B6D"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Asadi, M., Kiany, G. R., Akbari, R., &amp; Samar, R. G. (2016). Program evaluation of the New English Textbook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1) in the Iranian Ministry of Education. </w:t>
      </w:r>
      <w:r w:rsidRPr="0098127B">
        <w:rPr>
          <w:rFonts w:asciiTheme="majorBidi" w:hAnsiTheme="majorBidi" w:cstheme="majorBidi"/>
          <w:i/>
          <w:iCs/>
          <w:sz w:val="24"/>
          <w:szCs w:val="24"/>
        </w:rPr>
        <w:t>Theory and Practice in Language Studies</w:t>
      </w:r>
      <w:r w:rsidRPr="0098127B">
        <w:rPr>
          <w:rFonts w:asciiTheme="majorBidi" w:hAnsiTheme="majorBidi" w:cstheme="majorBidi"/>
          <w:sz w:val="24"/>
          <w:szCs w:val="24"/>
        </w:rPr>
        <w:t>, </w:t>
      </w:r>
      <w:r w:rsidRPr="0098127B">
        <w:rPr>
          <w:rFonts w:asciiTheme="majorBidi" w:hAnsiTheme="majorBidi" w:cstheme="majorBidi"/>
          <w:i/>
          <w:iCs/>
          <w:sz w:val="24"/>
          <w:szCs w:val="24"/>
        </w:rPr>
        <w:t>6</w:t>
      </w:r>
      <w:r w:rsidRPr="0098127B">
        <w:rPr>
          <w:rFonts w:asciiTheme="majorBidi" w:hAnsiTheme="majorBidi" w:cstheme="majorBidi"/>
          <w:sz w:val="24"/>
          <w:szCs w:val="24"/>
        </w:rPr>
        <w:t xml:space="preserve">(2), 291-301. </w:t>
      </w:r>
      <w:hyperlink r:id="rId21" w:history="1">
        <w:r w:rsidRPr="0098127B">
          <w:rPr>
            <w:rStyle w:val="Hyperlink"/>
            <w:rFonts w:asciiTheme="majorBidi" w:hAnsiTheme="majorBidi" w:cstheme="majorBidi"/>
            <w:sz w:val="24"/>
            <w:szCs w:val="24"/>
          </w:rPr>
          <w:t>http://dx.doi.org/10.17507/tpls.0602.10</w:t>
        </w:r>
      </w:hyperlink>
      <w:r w:rsidRPr="0098127B">
        <w:rPr>
          <w:rFonts w:asciiTheme="majorBidi" w:hAnsiTheme="majorBidi" w:cstheme="majorBidi"/>
          <w:sz w:val="24"/>
          <w:szCs w:val="24"/>
        </w:rPr>
        <w:t xml:space="preserve"> </w:t>
      </w:r>
    </w:p>
    <w:p w14:paraId="22B7B57D"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Asakereh, A., Yousofi, N., &amp; Weisi, H. (2019). Critical content analysis of English textbooks used in the Iranian education system: Focusing on ELF features. </w:t>
      </w:r>
      <w:r w:rsidRPr="0098127B">
        <w:rPr>
          <w:rFonts w:asciiTheme="majorBidi" w:hAnsiTheme="majorBidi" w:cstheme="majorBidi"/>
          <w:i/>
          <w:iCs/>
          <w:sz w:val="24"/>
          <w:szCs w:val="24"/>
        </w:rPr>
        <w:t>Issues in Educational Research</w:t>
      </w:r>
      <w:r w:rsidRPr="0098127B">
        <w:rPr>
          <w:rFonts w:asciiTheme="majorBidi" w:hAnsiTheme="majorBidi" w:cstheme="majorBidi"/>
          <w:sz w:val="24"/>
          <w:szCs w:val="24"/>
        </w:rPr>
        <w:t>, </w:t>
      </w:r>
      <w:r w:rsidRPr="0098127B">
        <w:rPr>
          <w:rFonts w:asciiTheme="majorBidi" w:hAnsiTheme="majorBidi" w:cstheme="majorBidi"/>
          <w:i/>
          <w:iCs/>
          <w:sz w:val="24"/>
          <w:szCs w:val="24"/>
        </w:rPr>
        <w:t>29</w:t>
      </w:r>
      <w:r w:rsidRPr="0098127B">
        <w:rPr>
          <w:rFonts w:asciiTheme="majorBidi" w:hAnsiTheme="majorBidi" w:cstheme="majorBidi"/>
          <w:sz w:val="24"/>
          <w:szCs w:val="24"/>
        </w:rPr>
        <w:t xml:space="preserve">(4), 1016-1038. </w:t>
      </w:r>
      <w:hyperlink r:id="rId22" w:history="1">
        <w:r w:rsidRPr="0098127B">
          <w:rPr>
            <w:rStyle w:val="Hyperlink"/>
            <w:rFonts w:asciiTheme="majorBidi" w:hAnsiTheme="majorBidi" w:cstheme="majorBidi"/>
            <w:sz w:val="24"/>
            <w:szCs w:val="24"/>
          </w:rPr>
          <w:t>https://doi.org/10.3316/informit.721679314152269</w:t>
        </w:r>
      </w:hyperlink>
      <w:r w:rsidRPr="0098127B">
        <w:rPr>
          <w:rFonts w:asciiTheme="majorBidi" w:hAnsiTheme="majorBidi" w:cstheme="majorBidi"/>
          <w:sz w:val="24"/>
          <w:szCs w:val="24"/>
        </w:rPr>
        <w:t xml:space="preserve"> </w:t>
      </w:r>
    </w:p>
    <w:p w14:paraId="7CBA3B6C"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Attaby, Z. M. M. S. A. (2019). </w:t>
      </w:r>
      <w:r w:rsidRPr="0098127B">
        <w:rPr>
          <w:rFonts w:asciiTheme="majorBidi" w:hAnsiTheme="majorBidi" w:cstheme="majorBidi"/>
          <w:i/>
          <w:iCs/>
          <w:sz w:val="24"/>
          <w:szCs w:val="24"/>
        </w:rPr>
        <w:t>Between two masters: Dilemmas of English language teaching in Iraq today</w:t>
      </w:r>
      <w:r w:rsidRPr="0098127B">
        <w:rPr>
          <w:rFonts w:asciiTheme="majorBidi" w:hAnsiTheme="majorBidi" w:cstheme="majorBidi"/>
          <w:sz w:val="24"/>
          <w:szCs w:val="24"/>
        </w:rPr>
        <w:t> (Doctoral dissertation, Monash University).</w:t>
      </w:r>
    </w:p>
    <w:p w14:paraId="0F86A0BA" w14:textId="77777777" w:rsidR="003C5F20" w:rsidRPr="0098127B" w:rsidRDefault="003C5F20" w:rsidP="006168EA">
      <w:pPr>
        <w:spacing w:line="480" w:lineRule="auto"/>
        <w:ind w:left="720" w:hanging="720"/>
        <w:rPr>
          <w:rFonts w:asciiTheme="majorBidi" w:hAnsiTheme="majorBidi" w:cstheme="majorBidi"/>
          <w:sz w:val="24"/>
          <w:szCs w:val="24"/>
        </w:rPr>
      </w:pPr>
      <w:bookmarkStart w:id="11" w:name="_Hlk206492545"/>
      <w:bookmarkEnd w:id="6"/>
      <w:r w:rsidRPr="0098127B">
        <w:rPr>
          <w:rFonts w:asciiTheme="majorBidi" w:hAnsiTheme="majorBidi" w:cstheme="majorBidi"/>
          <w:sz w:val="24"/>
          <w:szCs w:val="24"/>
        </w:rPr>
        <w:lastRenderedPageBreak/>
        <w:t>Azimzadeh</w:t>
      </w:r>
      <w:bookmarkEnd w:id="11"/>
      <w:r w:rsidRPr="0098127B">
        <w:rPr>
          <w:rFonts w:asciiTheme="majorBidi" w:hAnsiTheme="majorBidi" w:cstheme="majorBidi"/>
          <w:sz w:val="24"/>
          <w:szCs w:val="24"/>
        </w:rPr>
        <w:t xml:space="preserve">, M. (2022). Representation of Cultural Elements in Iranian EFL High Schools’ Textbook, </w:t>
      </w:r>
      <w:r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1. </w:t>
      </w:r>
      <w:r w:rsidRPr="0098127B">
        <w:rPr>
          <w:rFonts w:asciiTheme="majorBidi" w:hAnsiTheme="majorBidi" w:cstheme="majorBidi"/>
          <w:i/>
          <w:iCs/>
          <w:sz w:val="24"/>
          <w:szCs w:val="24"/>
        </w:rPr>
        <w:t>Bayburt Eğitim Fakültesi Dergisi</w:t>
      </w:r>
      <w:r w:rsidRPr="0098127B">
        <w:rPr>
          <w:rFonts w:asciiTheme="majorBidi" w:hAnsiTheme="majorBidi" w:cstheme="majorBidi"/>
          <w:sz w:val="24"/>
          <w:szCs w:val="24"/>
        </w:rPr>
        <w:t>, </w:t>
      </w:r>
      <w:r w:rsidRPr="0098127B">
        <w:rPr>
          <w:rFonts w:asciiTheme="majorBidi" w:hAnsiTheme="majorBidi" w:cstheme="majorBidi"/>
          <w:i/>
          <w:iCs/>
          <w:sz w:val="24"/>
          <w:szCs w:val="24"/>
        </w:rPr>
        <w:t>17</w:t>
      </w:r>
      <w:r w:rsidRPr="0098127B">
        <w:rPr>
          <w:rFonts w:asciiTheme="majorBidi" w:hAnsiTheme="majorBidi" w:cstheme="majorBidi"/>
          <w:sz w:val="24"/>
          <w:szCs w:val="24"/>
        </w:rPr>
        <w:t>(33), 73-93.</w:t>
      </w:r>
    </w:p>
    <w:p w14:paraId="3AD0AC74" w14:textId="77777777" w:rsidR="003C5F20" w:rsidRPr="0098127B" w:rsidRDefault="003C5F20" w:rsidP="006168EA">
      <w:pPr>
        <w:spacing w:line="480" w:lineRule="auto"/>
        <w:ind w:left="720" w:hanging="720"/>
        <w:rPr>
          <w:rFonts w:asciiTheme="majorBidi" w:hAnsiTheme="majorBidi" w:cstheme="majorBidi"/>
          <w:sz w:val="24"/>
          <w:szCs w:val="24"/>
        </w:rPr>
      </w:pPr>
      <w:bookmarkStart w:id="12" w:name="_Hlk206425512"/>
      <w:r w:rsidRPr="0098127B">
        <w:rPr>
          <w:rFonts w:asciiTheme="majorBidi" w:hAnsiTheme="majorBidi" w:cstheme="majorBidi"/>
          <w:sz w:val="24"/>
          <w:szCs w:val="24"/>
        </w:rPr>
        <w:t>Barnawi, O. (2017). </w:t>
      </w:r>
      <w:r w:rsidRPr="0098127B">
        <w:rPr>
          <w:rFonts w:asciiTheme="majorBidi" w:hAnsiTheme="majorBidi" w:cstheme="majorBidi"/>
          <w:i/>
          <w:iCs/>
          <w:sz w:val="24"/>
          <w:szCs w:val="24"/>
        </w:rPr>
        <w:t>Neoliberalism and English language education policies in the Arabian Gulf</w:t>
      </w:r>
      <w:r w:rsidRPr="0098127B">
        <w:rPr>
          <w:rFonts w:asciiTheme="majorBidi" w:hAnsiTheme="majorBidi" w:cstheme="majorBidi"/>
          <w:sz w:val="24"/>
          <w:szCs w:val="24"/>
        </w:rPr>
        <w:t>. Routledge.</w:t>
      </w:r>
    </w:p>
    <w:p w14:paraId="7274B069" w14:textId="77777777" w:rsidR="003C5F20" w:rsidRPr="0098127B" w:rsidRDefault="003C5F20" w:rsidP="006168EA">
      <w:pPr>
        <w:spacing w:line="480" w:lineRule="auto"/>
        <w:ind w:left="720" w:hanging="720"/>
        <w:rPr>
          <w:rFonts w:asciiTheme="majorBidi" w:hAnsiTheme="majorBidi" w:cstheme="majorBidi"/>
          <w:sz w:val="24"/>
          <w:szCs w:val="24"/>
        </w:rPr>
      </w:pPr>
      <w:bookmarkStart w:id="13" w:name="_Hlk206507008"/>
      <w:r w:rsidRPr="0098127B">
        <w:rPr>
          <w:rFonts w:asciiTheme="majorBidi" w:hAnsiTheme="majorBidi" w:cstheme="majorBidi"/>
          <w:sz w:val="24"/>
          <w:szCs w:val="24"/>
        </w:rPr>
        <w:t>Batch</w:t>
      </w:r>
      <w:bookmarkEnd w:id="13"/>
      <w:r w:rsidRPr="0098127B">
        <w:rPr>
          <w:rFonts w:asciiTheme="majorBidi" w:hAnsiTheme="majorBidi" w:cstheme="majorBidi"/>
          <w:sz w:val="24"/>
          <w:szCs w:val="24"/>
        </w:rPr>
        <w:t>, K. R., Magi, T., &amp; Luhtala, M. (2015). Filtering beyond CIPA: Consequences of and Alternatives to Overfiltering in Schools. </w:t>
      </w:r>
      <w:r w:rsidRPr="0098127B">
        <w:rPr>
          <w:rFonts w:asciiTheme="majorBidi" w:hAnsiTheme="majorBidi" w:cstheme="majorBidi"/>
          <w:i/>
          <w:iCs/>
          <w:sz w:val="24"/>
          <w:szCs w:val="24"/>
        </w:rPr>
        <w:t>Knowledge Quest</w:t>
      </w:r>
      <w:r w:rsidRPr="0098127B">
        <w:rPr>
          <w:rFonts w:asciiTheme="majorBidi" w:hAnsiTheme="majorBidi" w:cstheme="majorBidi"/>
          <w:sz w:val="24"/>
          <w:szCs w:val="24"/>
        </w:rPr>
        <w:t>, </w:t>
      </w:r>
      <w:r w:rsidRPr="0098127B">
        <w:rPr>
          <w:rFonts w:asciiTheme="majorBidi" w:hAnsiTheme="majorBidi" w:cstheme="majorBidi"/>
          <w:i/>
          <w:iCs/>
          <w:sz w:val="24"/>
          <w:szCs w:val="24"/>
        </w:rPr>
        <w:t>44</w:t>
      </w:r>
      <w:r w:rsidRPr="0098127B">
        <w:rPr>
          <w:rFonts w:asciiTheme="majorBidi" w:hAnsiTheme="majorBidi" w:cstheme="majorBidi"/>
          <w:sz w:val="24"/>
          <w:szCs w:val="24"/>
        </w:rPr>
        <w:t xml:space="preserve">(1), 60-66. </w:t>
      </w:r>
    </w:p>
    <w:p w14:paraId="01A096EC" w14:textId="77777777" w:rsidR="003C5F20" w:rsidRPr="0098127B" w:rsidRDefault="003C5F20" w:rsidP="006168EA">
      <w:pPr>
        <w:spacing w:line="480" w:lineRule="auto"/>
        <w:ind w:left="720" w:hanging="720"/>
        <w:rPr>
          <w:rFonts w:asciiTheme="majorBidi" w:hAnsiTheme="majorBidi" w:cstheme="majorBidi"/>
          <w:sz w:val="24"/>
          <w:szCs w:val="24"/>
        </w:rPr>
      </w:pPr>
      <w:bookmarkStart w:id="14" w:name="_Hlk206430708"/>
      <w:bookmarkEnd w:id="12"/>
      <w:r w:rsidRPr="0098127B">
        <w:rPr>
          <w:rFonts w:asciiTheme="majorBidi" w:hAnsiTheme="majorBidi" w:cstheme="majorBidi"/>
          <w:sz w:val="24"/>
          <w:szCs w:val="24"/>
        </w:rPr>
        <w:t>Beese</w:t>
      </w:r>
      <w:bookmarkEnd w:id="14"/>
      <w:r w:rsidRPr="0098127B">
        <w:rPr>
          <w:rFonts w:asciiTheme="majorBidi" w:hAnsiTheme="majorBidi" w:cstheme="majorBidi"/>
          <w:sz w:val="24"/>
          <w:szCs w:val="24"/>
        </w:rPr>
        <w:t>, Y. (2024). The Islamic State of Iraq (ISI), 2007–2013: The Age of Serialization, Shadow Authority, and Martyrs. In </w:t>
      </w:r>
      <w:r w:rsidRPr="0098127B">
        <w:rPr>
          <w:rFonts w:asciiTheme="majorBidi" w:hAnsiTheme="majorBidi" w:cstheme="majorBidi"/>
          <w:i/>
          <w:iCs/>
          <w:sz w:val="24"/>
          <w:szCs w:val="24"/>
        </w:rPr>
        <w:t>The Film of the Islamic State: The Cinefication of Jihadi Video</w:t>
      </w:r>
      <w:r w:rsidRPr="0098127B">
        <w:rPr>
          <w:rFonts w:asciiTheme="majorBidi" w:hAnsiTheme="majorBidi" w:cstheme="majorBidi"/>
          <w:sz w:val="24"/>
          <w:szCs w:val="24"/>
        </w:rPr>
        <w:t> (pp. 93-139). Springer Fachmedien Wiesbaden.</w:t>
      </w:r>
    </w:p>
    <w:p w14:paraId="08CA8912" w14:textId="77777777" w:rsidR="003C5F20" w:rsidRPr="0098127B" w:rsidRDefault="003C5F20" w:rsidP="006168EA">
      <w:pPr>
        <w:spacing w:line="480" w:lineRule="auto"/>
        <w:ind w:left="720" w:hanging="720"/>
        <w:rPr>
          <w:rFonts w:asciiTheme="majorBidi" w:hAnsiTheme="majorBidi" w:cstheme="majorBidi"/>
          <w:sz w:val="24"/>
          <w:szCs w:val="24"/>
        </w:rPr>
      </w:pPr>
      <w:bookmarkStart w:id="15" w:name="_Hlk206431008"/>
      <w:bookmarkStart w:id="16" w:name="_Hlk206507639"/>
      <w:bookmarkStart w:id="17" w:name="_Hlk206494142"/>
      <w:bookmarkStart w:id="18" w:name="_Hlk206429251"/>
      <w:r w:rsidRPr="0098127B">
        <w:rPr>
          <w:rFonts w:asciiTheme="majorBidi" w:hAnsiTheme="majorBidi" w:cstheme="majorBidi"/>
          <w:sz w:val="24"/>
          <w:szCs w:val="24"/>
        </w:rPr>
        <w:t>Betti</w:t>
      </w:r>
      <w:bookmarkEnd w:id="15"/>
      <w:r w:rsidRPr="0098127B">
        <w:rPr>
          <w:rFonts w:asciiTheme="majorBidi" w:hAnsiTheme="majorBidi" w:cstheme="majorBidi"/>
          <w:sz w:val="24"/>
          <w:szCs w:val="24"/>
        </w:rPr>
        <w:t>, M. J. (2021). </w:t>
      </w:r>
      <w:r w:rsidRPr="0098127B">
        <w:rPr>
          <w:rFonts w:asciiTheme="majorBidi" w:hAnsiTheme="majorBidi" w:cstheme="majorBidi"/>
          <w:i/>
          <w:iCs/>
          <w:sz w:val="24"/>
          <w:szCs w:val="24"/>
        </w:rPr>
        <w:t>An Operational Analysis of the Department of English in Iraq</w:t>
      </w:r>
      <w:r w:rsidRPr="0098127B">
        <w:rPr>
          <w:rFonts w:asciiTheme="majorBidi" w:hAnsiTheme="majorBidi" w:cstheme="majorBidi"/>
          <w:sz w:val="24"/>
          <w:szCs w:val="24"/>
        </w:rPr>
        <w:t xml:space="preserve">. University of Thi-Qar. </w:t>
      </w:r>
    </w:p>
    <w:p w14:paraId="5CF926E5" w14:textId="539C8AB1"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Bhattarai, K., &amp; Yousef, M. (2025). Education challenges and opportunities. </w:t>
      </w:r>
      <w:r w:rsidRPr="0098127B">
        <w:rPr>
          <w:rFonts w:asciiTheme="majorBidi" w:hAnsiTheme="majorBidi" w:cstheme="majorBidi"/>
          <w:i/>
          <w:iCs/>
          <w:sz w:val="24"/>
          <w:szCs w:val="24"/>
        </w:rPr>
        <w:t>The Middle East: Past, Present, and Future</w:t>
      </w:r>
      <w:r w:rsidRPr="0098127B">
        <w:rPr>
          <w:rFonts w:asciiTheme="majorBidi" w:hAnsiTheme="majorBidi" w:cstheme="majorBidi"/>
          <w:sz w:val="24"/>
          <w:szCs w:val="24"/>
        </w:rPr>
        <w:t xml:space="preserve">, </w:t>
      </w:r>
      <w:r w:rsidR="009E4A66">
        <w:rPr>
          <w:rFonts w:asciiTheme="majorBidi" w:hAnsiTheme="majorBidi" w:cstheme="majorBidi"/>
          <w:i/>
          <w:iCs/>
          <w:sz w:val="24"/>
          <w:szCs w:val="24"/>
        </w:rPr>
        <w:t>2</w:t>
      </w:r>
      <w:r w:rsidR="009E4A66" w:rsidRPr="0098127B">
        <w:rPr>
          <w:rFonts w:asciiTheme="majorBidi" w:hAnsiTheme="majorBidi" w:cstheme="majorBidi"/>
          <w:sz w:val="24"/>
          <w:szCs w:val="24"/>
        </w:rPr>
        <w:t>(1)</w:t>
      </w:r>
      <w:r w:rsidRPr="0098127B">
        <w:rPr>
          <w:rFonts w:asciiTheme="majorBidi" w:hAnsiTheme="majorBidi" w:cstheme="majorBidi"/>
          <w:sz w:val="24"/>
          <w:szCs w:val="24"/>
        </w:rPr>
        <w:t xml:space="preserve">255-266. </w:t>
      </w:r>
      <w:hyperlink r:id="rId23" w:history="1">
        <w:r w:rsidRPr="0098127B">
          <w:rPr>
            <w:rStyle w:val="Hyperlink"/>
            <w:rFonts w:asciiTheme="majorBidi" w:hAnsiTheme="majorBidi" w:cstheme="majorBidi"/>
            <w:sz w:val="24"/>
            <w:szCs w:val="24"/>
          </w:rPr>
          <w:t>https://doi.org/10.1007/978-3-031-83967-2_9</w:t>
        </w:r>
      </w:hyperlink>
      <w:r w:rsidRPr="0098127B">
        <w:rPr>
          <w:rFonts w:asciiTheme="majorBidi" w:hAnsiTheme="majorBidi" w:cstheme="majorBidi"/>
          <w:sz w:val="24"/>
          <w:szCs w:val="24"/>
        </w:rPr>
        <w:t xml:space="preserve"> </w:t>
      </w:r>
    </w:p>
    <w:bookmarkEnd w:id="16"/>
    <w:p w14:paraId="5D55FCBD" w14:textId="508DA0EA"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Bhuttah, T. M., Xiaoduan, C., Ullah, H., &amp; Javed, S. (2019). Analysis of curriculum development stages from the perspective of Tyler, Taba and Wheeler. </w:t>
      </w:r>
      <w:r w:rsidRPr="0098127B">
        <w:rPr>
          <w:rFonts w:asciiTheme="majorBidi" w:hAnsiTheme="majorBidi" w:cstheme="majorBidi"/>
          <w:i/>
          <w:iCs/>
          <w:sz w:val="24"/>
          <w:szCs w:val="24"/>
        </w:rPr>
        <w:t>European Journal of Social Sciences</w:t>
      </w:r>
      <w:r w:rsidRPr="0098127B">
        <w:rPr>
          <w:rFonts w:asciiTheme="majorBidi" w:hAnsiTheme="majorBidi" w:cstheme="majorBidi"/>
          <w:sz w:val="24"/>
          <w:szCs w:val="24"/>
        </w:rPr>
        <w:t>, </w:t>
      </w:r>
      <w:r w:rsidRPr="0098127B">
        <w:rPr>
          <w:rFonts w:asciiTheme="majorBidi" w:hAnsiTheme="majorBidi" w:cstheme="majorBidi"/>
          <w:i/>
          <w:iCs/>
          <w:sz w:val="24"/>
          <w:szCs w:val="24"/>
        </w:rPr>
        <w:t>58</w:t>
      </w:r>
      <w:r w:rsidRPr="0098127B">
        <w:rPr>
          <w:rFonts w:asciiTheme="majorBidi" w:hAnsiTheme="majorBidi" w:cstheme="majorBidi"/>
          <w:sz w:val="24"/>
          <w:szCs w:val="24"/>
        </w:rPr>
        <w:t xml:space="preserve">(1), 14-22. </w:t>
      </w:r>
      <w:hyperlink r:id="rId24" w:history="1">
        <w:r w:rsidR="009E4A66" w:rsidRPr="008969BE">
          <w:rPr>
            <w:rStyle w:val="Hyperlink"/>
            <w:rFonts w:asciiTheme="majorBidi" w:hAnsiTheme="majorBidi" w:cstheme="majorBidi"/>
            <w:sz w:val="24"/>
            <w:szCs w:val="24"/>
          </w:rPr>
          <w:t>https://doi.org/1</w:t>
        </w:r>
        <w:r w:rsidR="009E4A66" w:rsidRPr="008969BE">
          <w:rPr>
            <w:rStyle w:val="Hyperlink"/>
            <w:rFonts w:asciiTheme="majorBidi" w:hAnsiTheme="majorBidi" w:cstheme="majorBidi"/>
            <w:sz w:val="24"/>
            <w:szCs w:val="24"/>
          </w:rPr>
          <w:t>1</w:t>
        </w:r>
        <w:r w:rsidR="009E4A66" w:rsidRPr="008969BE">
          <w:rPr>
            <w:rStyle w:val="Hyperlink"/>
            <w:rFonts w:asciiTheme="majorBidi" w:hAnsiTheme="majorBidi" w:cstheme="majorBidi"/>
            <w:sz w:val="24"/>
            <w:szCs w:val="24"/>
          </w:rPr>
          <w:t>.</w:t>
        </w:r>
        <w:r w:rsidR="009E4A66" w:rsidRPr="008969BE">
          <w:rPr>
            <w:rStyle w:val="Hyperlink"/>
            <w:rFonts w:asciiTheme="majorBidi" w:hAnsiTheme="majorBidi" w:cstheme="majorBidi"/>
            <w:sz w:val="24"/>
            <w:szCs w:val="24"/>
          </w:rPr>
          <w:t>41698</w:t>
        </w:r>
        <w:r w:rsidR="009E4A66" w:rsidRPr="008969BE">
          <w:rPr>
            <w:rStyle w:val="Hyperlink"/>
            <w:rFonts w:asciiTheme="majorBidi" w:hAnsiTheme="majorBidi" w:cstheme="majorBidi"/>
            <w:sz w:val="24"/>
            <w:szCs w:val="24"/>
          </w:rPr>
          <w:t>/cbej.v</w:t>
        </w:r>
        <w:r w:rsidR="009E4A66" w:rsidRPr="008969BE">
          <w:rPr>
            <w:rStyle w:val="Hyperlink"/>
            <w:rFonts w:asciiTheme="majorBidi" w:hAnsiTheme="majorBidi" w:cstheme="majorBidi"/>
            <w:sz w:val="24"/>
            <w:szCs w:val="24"/>
          </w:rPr>
          <w:t>52</w:t>
        </w:r>
        <w:r w:rsidR="009E4A66" w:rsidRPr="008969BE">
          <w:rPr>
            <w:rStyle w:val="Hyperlink"/>
            <w:rFonts w:asciiTheme="majorBidi" w:hAnsiTheme="majorBidi" w:cstheme="majorBidi"/>
            <w:sz w:val="24"/>
            <w:szCs w:val="24"/>
          </w:rPr>
          <w:t>i99.</w:t>
        </w:r>
        <w:r w:rsidR="009E4A66" w:rsidRPr="008969BE">
          <w:rPr>
            <w:rStyle w:val="Hyperlink"/>
            <w:rFonts w:asciiTheme="majorBidi" w:hAnsiTheme="majorBidi" w:cstheme="majorBidi"/>
            <w:sz w:val="24"/>
            <w:szCs w:val="24"/>
          </w:rPr>
          <w:t>2369</w:t>
        </w:r>
      </w:hyperlink>
    </w:p>
    <w:p w14:paraId="5EC6E5AD" w14:textId="77777777" w:rsidR="003C5F20" w:rsidRPr="0098127B" w:rsidRDefault="003C5F20" w:rsidP="006168EA">
      <w:pPr>
        <w:spacing w:line="480" w:lineRule="auto"/>
        <w:ind w:left="720" w:hanging="720"/>
        <w:rPr>
          <w:rFonts w:asciiTheme="majorBidi" w:hAnsiTheme="majorBidi" w:cstheme="majorBidi"/>
          <w:sz w:val="24"/>
          <w:szCs w:val="24"/>
        </w:rPr>
      </w:pPr>
      <w:bookmarkStart w:id="19" w:name="_Hlk206425552"/>
      <w:bookmarkEnd w:id="17"/>
      <w:bookmarkEnd w:id="18"/>
      <w:r w:rsidRPr="0098127B">
        <w:rPr>
          <w:rFonts w:asciiTheme="majorBidi" w:hAnsiTheme="majorBidi" w:cstheme="majorBidi"/>
          <w:sz w:val="24"/>
          <w:szCs w:val="24"/>
        </w:rPr>
        <w:t>Bozeman</w:t>
      </w:r>
      <w:bookmarkEnd w:id="19"/>
      <w:r w:rsidRPr="0098127B">
        <w:rPr>
          <w:rFonts w:asciiTheme="majorBidi" w:hAnsiTheme="majorBidi" w:cstheme="majorBidi"/>
          <w:sz w:val="24"/>
          <w:szCs w:val="24"/>
        </w:rPr>
        <w:t>, A. B. (2017). </w:t>
      </w:r>
      <w:r w:rsidRPr="0098127B">
        <w:rPr>
          <w:rFonts w:asciiTheme="majorBidi" w:hAnsiTheme="majorBidi" w:cstheme="majorBidi"/>
          <w:i/>
          <w:iCs/>
          <w:sz w:val="24"/>
          <w:szCs w:val="24"/>
        </w:rPr>
        <w:t>Politics and culture in international history: from the ancient Near East to the opening of the modern age</w:t>
      </w:r>
      <w:r w:rsidRPr="0098127B">
        <w:rPr>
          <w:rFonts w:asciiTheme="majorBidi" w:hAnsiTheme="majorBidi" w:cstheme="majorBidi"/>
          <w:sz w:val="24"/>
          <w:szCs w:val="24"/>
        </w:rPr>
        <w:t xml:space="preserve">. Routledge. </w:t>
      </w:r>
    </w:p>
    <w:p w14:paraId="0F660FBE" w14:textId="77777777" w:rsidR="003C5F20" w:rsidRPr="0098127B" w:rsidRDefault="003C5F20" w:rsidP="006168EA">
      <w:pPr>
        <w:spacing w:line="480" w:lineRule="auto"/>
        <w:ind w:left="720" w:hanging="720"/>
        <w:rPr>
          <w:rFonts w:asciiTheme="majorBidi" w:hAnsiTheme="majorBidi" w:cstheme="majorBidi"/>
          <w:sz w:val="24"/>
          <w:szCs w:val="24"/>
        </w:rPr>
      </w:pPr>
      <w:bookmarkStart w:id="20" w:name="_Hlk206429442"/>
      <w:bookmarkStart w:id="21" w:name="_Hlk198924065"/>
      <w:r w:rsidRPr="0098127B">
        <w:rPr>
          <w:rFonts w:asciiTheme="majorBidi" w:hAnsiTheme="majorBidi" w:cstheme="majorBidi"/>
          <w:sz w:val="24"/>
          <w:szCs w:val="24"/>
        </w:rPr>
        <w:t>Brock</w:t>
      </w:r>
      <w:bookmarkEnd w:id="20"/>
      <w:r w:rsidRPr="0098127B">
        <w:rPr>
          <w:rFonts w:asciiTheme="majorBidi" w:hAnsiTheme="majorBidi" w:cstheme="majorBidi"/>
          <w:sz w:val="24"/>
          <w:szCs w:val="24"/>
        </w:rPr>
        <w:t>, C. (2017). </w:t>
      </w:r>
      <w:r w:rsidRPr="0098127B">
        <w:rPr>
          <w:rFonts w:asciiTheme="majorBidi" w:hAnsiTheme="majorBidi" w:cstheme="majorBidi"/>
          <w:i/>
          <w:iCs/>
          <w:sz w:val="24"/>
          <w:szCs w:val="24"/>
        </w:rPr>
        <w:t>Education in the Arab world</w:t>
      </w:r>
      <w:r w:rsidRPr="0098127B">
        <w:rPr>
          <w:rFonts w:asciiTheme="majorBidi" w:hAnsiTheme="majorBidi" w:cstheme="majorBidi"/>
          <w:sz w:val="24"/>
          <w:szCs w:val="24"/>
        </w:rPr>
        <w:t xml:space="preserve">. Bloomsbury Publishing. </w:t>
      </w:r>
    </w:p>
    <w:p w14:paraId="5976A318"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Bruns, B., Macdonald, I. H., &amp; Schneider, B. R. (2019). The politics of quality reforms and the challenges for SDGs in education. </w:t>
      </w:r>
      <w:r w:rsidRPr="0098127B">
        <w:rPr>
          <w:rFonts w:asciiTheme="majorBidi" w:hAnsiTheme="majorBidi" w:cstheme="majorBidi"/>
          <w:i/>
          <w:iCs/>
          <w:sz w:val="24"/>
          <w:szCs w:val="24"/>
        </w:rPr>
        <w:t>World Development</w:t>
      </w:r>
      <w:r w:rsidRPr="0098127B">
        <w:rPr>
          <w:rFonts w:asciiTheme="majorBidi" w:hAnsiTheme="majorBidi" w:cstheme="majorBidi"/>
          <w:sz w:val="24"/>
          <w:szCs w:val="24"/>
        </w:rPr>
        <w:t>, </w:t>
      </w:r>
      <w:r w:rsidRPr="0098127B">
        <w:rPr>
          <w:rFonts w:asciiTheme="majorBidi" w:hAnsiTheme="majorBidi" w:cstheme="majorBidi"/>
          <w:i/>
          <w:iCs/>
          <w:sz w:val="24"/>
          <w:szCs w:val="24"/>
        </w:rPr>
        <w:t>118</w:t>
      </w:r>
      <w:r w:rsidRPr="0098127B">
        <w:rPr>
          <w:rFonts w:asciiTheme="majorBidi" w:hAnsiTheme="majorBidi" w:cstheme="majorBidi"/>
          <w:sz w:val="24"/>
          <w:szCs w:val="24"/>
        </w:rPr>
        <w:t xml:space="preserve">, 27-38. </w:t>
      </w:r>
      <w:hyperlink r:id="rId25" w:history="1">
        <w:r w:rsidRPr="0098127B">
          <w:rPr>
            <w:rStyle w:val="Hyperlink"/>
            <w:rFonts w:asciiTheme="majorBidi" w:hAnsiTheme="majorBidi" w:cstheme="majorBidi"/>
            <w:sz w:val="24"/>
            <w:szCs w:val="24"/>
          </w:rPr>
          <w:t>https://doi.org/10.1016/j.worlddev.2019.02.008</w:t>
        </w:r>
      </w:hyperlink>
      <w:r w:rsidRPr="0098127B">
        <w:rPr>
          <w:rFonts w:asciiTheme="majorBidi" w:hAnsiTheme="majorBidi" w:cstheme="majorBidi"/>
          <w:sz w:val="24"/>
          <w:szCs w:val="24"/>
        </w:rPr>
        <w:t xml:space="preserve"> </w:t>
      </w:r>
    </w:p>
    <w:p w14:paraId="375BBCF7" w14:textId="77777777" w:rsidR="003C5F20" w:rsidRPr="0098127B" w:rsidRDefault="003C5F20" w:rsidP="006168EA">
      <w:pPr>
        <w:spacing w:line="480" w:lineRule="auto"/>
        <w:ind w:left="720" w:hanging="720"/>
        <w:rPr>
          <w:rFonts w:asciiTheme="majorBidi" w:hAnsiTheme="majorBidi" w:cstheme="majorBidi"/>
          <w:sz w:val="24"/>
          <w:szCs w:val="24"/>
        </w:rPr>
      </w:pPr>
      <w:bookmarkStart w:id="22" w:name="_Hlk206524912"/>
      <w:r w:rsidRPr="0098127B">
        <w:rPr>
          <w:rFonts w:asciiTheme="majorBidi" w:hAnsiTheme="majorBidi" w:cstheme="majorBidi"/>
          <w:sz w:val="24"/>
          <w:szCs w:val="24"/>
        </w:rPr>
        <w:lastRenderedPageBreak/>
        <w:t>Canale</w:t>
      </w:r>
      <w:bookmarkEnd w:id="22"/>
      <w:r w:rsidRPr="0098127B">
        <w:rPr>
          <w:rFonts w:asciiTheme="majorBidi" w:hAnsiTheme="majorBidi" w:cstheme="majorBidi"/>
          <w:sz w:val="24"/>
          <w:szCs w:val="24"/>
        </w:rPr>
        <w:t>, G. (2019). Laptops and Textbooks as Curriculum Artifacts: Audience, Authorization and Ideologies in the Classroom. In </w:t>
      </w:r>
      <w:r w:rsidRPr="0098127B">
        <w:rPr>
          <w:rFonts w:asciiTheme="majorBidi" w:hAnsiTheme="majorBidi" w:cstheme="majorBidi"/>
          <w:i/>
          <w:iCs/>
          <w:sz w:val="24"/>
          <w:szCs w:val="24"/>
        </w:rPr>
        <w:t>Technology, Multimodality and Learning: Analyzing Meaning across Scales</w:t>
      </w:r>
      <w:r w:rsidRPr="0098127B">
        <w:rPr>
          <w:rFonts w:asciiTheme="majorBidi" w:hAnsiTheme="majorBidi" w:cstheme="majorBidi"/>
          <w:sz w:val="24"/>
          <w:szCs w:val="24"/>
        </w:rPr>
        <w:t> (pp. 137-175). Springer International Publishing.</w:t>
      </w:r>
    </w:p>
    <w:p w14:paraId="556D2320" w14:textId="77777777" w:rsidR="003C5F20" w:rsidRPr="0098127B" w:rsidRDefault="003C5F20" w:rsidP="006168EA">
      <w:pPr>
        <w:spacing w:line="480" w:lineRule="auto"/>
        <w:ind w:left="720" w:hanging="720"/>
        <w:rPr>
          <w:rFonts w:asciiTheme="majorBidi" w:hAnsiTheme="majorBidi" w:cstheme="majorBidi"/>
          <w:sz w:val="24"/>
          <w:szCs w:val="24"/>
        </w:rPr>
      </w:pPr>
      <w:bookmarkStart w:id="23" w:name="_Hlk206427272"/>
      <w:r w:rsidRPr="0098127B">
        <w:rPr>
          <w:rFonts w:asciiTheme="majorBidi" w:hAnsiTheme="majorBidi" w:cstheme="majorBidi"/>
          <w:sz w:val="24"/>
          <w:szCs w:val="24"/>
        </w:rPr>
        <w:t>Chishti, I. (2021). A comparative analysis of ideological constructions embedded in English textbooks: A critical discourse perspective. </w:t>
      </w:r>
      <w:r w:rsidRPr="0098127B">
        <w:rPr>
          <w:rFonts w:asciiTheme="majorBidi" w:hAnsiTheme="majorBidi" w:cstheme="majorBidi"/>
          <w:i/>
          <w:iCs/>
          <w:sz w:val="24"/>
          <w:szCs w:val="24"/>
        </w:rPr>
        <w:t>Humanities &amp; Social Sciences Reviews</w:t>
      </w:r>
      <w:r w:rsidRPr="0098127B">
        <w:rPr>
          <w:rFonts w:asciiTheme="majorBidi" w:hAnsiTheme="majorBidi" w:cstheme="majorBidi"/>
          <w:sz w:val="24"/>
          <w:szCs w:val="24"/>
        </w:rPr>
        <w:t>,</w:t>
      </w:r>
      <w:r w:rsidRPr="0098127B">
        <w:rPr>
          <w:rFonts w:asciiTheme="majorBidi" w:hAnsiTheme="majorBidi" w:cstheme="majorBidi"/>
          <w:i/>
          <w:iCs/>
          <w:sz w:val="24"/>
          <w:szCs w:val="24"/>
        </w:rPr>
        <w:t xml:space="preserve"> 9</w:t>
      </w:r>
      <w:r w:rsidRPr="0098127B">
        <w:rPr>
          <w:rFonts w:asciiTheme="majorBidi" w:hAnsiTheme="majorBidi" w:cstheme="majorBidi"/>
          <w:sz w:val="24"/>
          <w:szCs w:val="24"/>
        </w:rPr>
        <w:t xml:space="preserve">(2), 487-498. </w:t>
      </w:r>
      <w:hyperlink r:id="rId26" w:history="1">
        <w:r w:rsidRPr="0098127B">
          <w:rPr>
            <w:rStyle w:val="Hyperlink"/>
            <w:rFonts w:asciiTheme="majorBidi" w:hAnsiTheme="majorBidi" w:cstheme="majorBidi"/>
            <w:sz w:val="24"/>
            <w:szCs w:val="24"/>
          </w:rPr>
          <w:t>https://doi.org/10.18510/hssr.2021.9247</w:t>
        </w:r>
      </w:hyperlink>
      <w:r w:rsidRPr="0098127B">
        <w:rPr>
          <w:rFonts w:asciiTheme="majorBidi" w:hAnsiTheme="majorBidi" w:cstheme="majorBidi"/>
          <w:sz w:val="24"/>
          <w:szCs w:val="24"/>
        </w:rPr>
        <w:t xml:space="preserve"> </w:t>
      </w:r>
    </w:p>
    <w:p w14:paraId="56E962D5"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Cleveland, W. L., &amp; Bunton, M. (2024). </w:t>
      </w:r>
      <w:r w:rsidRPr="0098127B">
        <w:rPr>
          <w:rFonts w:asciiTheme="majorBidi" w:hAnsiTheme="majorBidi" w:cstheme="majorBidi"/>
          <w:i/>
          <w:iCs/>
          <w:sz w:val="24"/>
          <w:szCs w:val="24"/>
        </w:rPr>
        <w:t>A history of the modern Middle East</w:t>
      </w:r>
      <w:r w:rsidRPr="0098127B">
        <w:rPr>
          <w:rFonts w:asciiTheme="majorBidi" w:hAnsiTheme="majorBidi" w:cstheme="majorBidi"/>
          <w:sz w:val="24"/>
          <w:szCs w:val="24"/>
        </w:rPr>
        <w:t xml:space="preserve">. Routledge. </w:t>
      </w:r>
    </w:p>
    <w:bookmarkEnd w:id="23"/>
    <w:p w14:paraId="528167E9"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Cunningsworth, A. (1995). </w:t>
      </w:r>
      <w:r w:rsidRPr="0098127B">
        <w:rPr>
          <w:rFonts w:asciiTheme="majorBidi" w:hAnsiTheme="majorBidi" w:cstheme="majorBidi"/>
          <w:i/>
          <w:iCs/>
          <w:sz w:val="24"/>
          <w:szCs w:val="24"/>
        </w:rPr>
        <w:t>Choosing your coursebook</w:t>
      </w:r>
      <w:r w:rsidRPr="0098127B">
        <w:rPr>
          <w:rFonts w:asciiTheme="majorBidi" w:hAnsiTheme="majorBidi" w:cstheme="majorBidi"/>
          <w:sz w:val="24"/>
          <w:szCs w:val="24"/>
        </w:rPr>
        <w:t>. Macmillan Heinemann.</w:t>
      </w:r>
    </w:p>
    <w:bookmarkEnd w:id="21"/>
    <w:p w14:paraId="497C2A03"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D’Agostino, T. J. (2023). Examination reform for higher order thinking: A case study of assessment-driven reform in Uganda. </w:t>
      </w:r>
      <w:r w:rsidRPr="0098127B">
        <w:rPr>
          <w:rFonts w:asciiTheme="majorBidi" w:hAnsiTheme="majorBidi" w:cstheme="majorBidi"/>
          <w:i/>
          <w:iCs/>
          <w:sz w:val="24"/>
          <w:szCs w:val="24"/>
        </w:rPr>
        <w:t>International Journal of Educational Development</w:t>
      </w:r>
      <w:r w:rsidRPr="0098127B">
        <w:rPr>
          <w:rFonts w:asciiTheme="majorBidi" w:hAnsiTheme="majorBidi" w:cstheme="majorBidi"/>
          <w:sz w:val="24"/>
          <w:szCs w:val="24"/>
        </w:rPr>
        <w:t>, </w:t>
      </w:r>
      <w:r w:rsidRPr="0098127B">
        <w:rPr>
          <w:rFonts w:asciiTheme="majorBidi" w:hAnsiTheme="majorBidi" w:cstheme="majorBidi"/>
          <w:i/>
          <w:iCs/>
          <w:sz w:val="24"/>
          <w:szCs w:val="24"/>
        </w:rPr>
        <w:t>103</w:t>
      </w:r>
      <w:r w:rsidRPr="0098127B">
        <w:rPr>
          <w:rFonts w:asciiTheme="majorBidi" w:hAnsiTheme="majorBidi" w:cstheme="majorBidi"/>
          <w:sz w:val="24"/>
          <w:szCs w:val="24"/>
        </w:rPr>
        <w:t xml:space="preserve">, 10-18. </w:t>
      </w:r>
      <w:hyperlink r:id="rId27" w:history="1">
        <w:r w:rsidRPr="0098127B">
          <w:rPr>
            <w:rStyle w:val="Hyperlink"/>
            <w:rFonts w:asciiTheme="majorBidi" w:hAnsiTheme="majorBidi" w:cstheme="majorBidi"/>
            <w:sz w:val="24"/>
            <w:szCs w:val="24"/>
          </w:rPr>
          <w:t>https://doi.org/10.1016/j.ijedudev.2023.102918</w:t>
        </w:r>
      </w:hyperlink>
      <w:r w:rsidRPr="0098127B">
        <w:rPr>
          <w:rFonts w:asciiTheme="majorBidi" w:hAnsiTheme="majorBidi" w:cstheme="majorBidi"/>
          <w:sz w:val="24"/>
          <w:szCs w:val="24"/>
        </w:rPr>
        <w:t xml:space="preserve"> </w:t>
      </w:r>
    </w:p>
    <w:p w14:paraId="3B64A329"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Dahmardeh, M., Mohammed Hasan, A., Muhammadi, P., &amp; Al-Rashdi, F. (2025). A comparative study of gender representation in EFL coursebooks in the Middle East. </w:t>
      </w:r>
      <w:r w:rsidRPr="0098127B">
        <w:rPr>
          <w:rFonts w:asciiTheme="majorBidi" w:hAnsiTheme="majorBidi" w:cstheme="majorBidi"/>
          <w:i/>
          <w:iCs/>
          <w:sz w:val="24"/>
          <w:szCs w:val="24"/>
        </w:rPr>
        <w:t>Journal for Multicultural Education</w:t>
      </w:r>
      <w:r w:rsidRPr="0098127B">
        <w:rPr>
          <w:rFonts w:asciiTheme="majorBidi" w:hAnsiTheme="majorBidi" w:cstheme="majorBidi"/>
          <w:sz w:val="24"/>
          <w:szCs w:val="24"/>
        </w:rPr>
        <w:t>, </w:t>
      </w:r>
      <w:r w:rsidRPr="0098127B">
        <w:rPr>
          <w:rFonts w:asciiTheme="majorBidi" w:hAnsiTheme="majorBidi" w:cstheme="majorBidi"/>
          <w:i/>
          <w:iCs/>
          <w:sz w:val="24"/>
          <w:szCs w:val="24"/>
        </w:rPr>
        <w:t>19</w:t>
      </w:r>
      <w:r w:rsidRPr="0098127B">
        <w:rPr>
          <w:rFonts w:asciiTheme="majorBidi" w:hAnsiTheme="majorBidi" w:cstheme="majorBidi"/>
          <w:sz w:val="24"/>
          <w:szCs w:val="24"/>
        </w:rPr>
        <w:t xml:space="preserve">(1), 108-120. </w:t>
      </w:r>
      <w:hyperlink r:id="rId28" w:tooltip="DOI: https://doi.org/10.1108/JME-10-2024-0138" w:history="1">
        <w:r w:rsidRPr="0098127B">
          <w:rPr>
            <w:rStyle w:val="Hyperlink"/>
            <w:rFonts w:asciiTheme="majorBidi" w:hAnsiTheme="majorBidi" w:cstheme="majorBidi"/>
            <w:color w:val="auto"/>
            <w:sz w:val="24"/>
            <w:szCs w:val="24"/>
            <w:u w:val="none"/>
          </w:rPr>
          <w:t>https://doi.org/10.1108/JME-10-2024-0138</w:t>
        </w:r>
      </w:hyperlink>
      <w:r w:rsidRPr="0098127B">
        <w:rPr>
          <w:rFonts w:asciiTheme="majorBidi" w:hAnsiTheme="majorBidi" w:cstheme="majorBidi"/>
          <w:sz w:val="24"/>
          <w:szCs w:val="24"/>
        </w:rPr>
        <w:t xml:space="preserve">  </w:t>
      </w:r>
    </w:p>
    <w:p w14:paraId="1ED42F38" w14:textId="77777777" w:rsidR="003C5F20" w:rsidRPr="0098127B" w:rsidRDefault="003C5F20" w:rsidP="006168EA">
      <w:pPr>
        <w:spacing w:line="480" w:lineRule="auto"/>
        <w:ind w:left="720" w:hanging="720"/>
        <w:rPr>
          <w:rFonts w:asciiTheme="majorBidi" w:hAnsiTheme="majorBidi" w:cstheme="majorBidi"/>
          <w:sz w:val="24"/>
          <w:szCs w:val="24"/>
        </w:rPr>
      </w:pPr>
      <w:bookmarkStart w:id="24" w:name="_Hlk206433159"/>
      <w:r w:rsidRPr="0098127B">
        <w:rPr>
          <w:rFonts w:asciiTheme="majorBidi" w:hAnsiTheme="majorBidi" w:cstheme="majorBidi"/>
          <w:sz w:val="24"/>
          <w:szCs w:val="24"/>
        </w:rPr>
        <w:t>Davari, H., &amp; Iranmehr</w:t>
      </w:r>
      <w:bookmarkEnd w:id="24"/>
      <w:r w:rsidRPr="0098127B">
        <w:rPr>
          <w:rFonts w:asciiTheme="majorBidi" w:hAnsiTheme="majorBidi" w:cstheme="majorBidi"/>
          <w:sz w:val="24"/>
          <w:szCs w:val="24"/>
        </w:rPr>
        <w:t xml:space="preserve">, A. (2021). </w:t>
      </w:r>
      <w:r w:rsidRPr="0098127B">
        <w:rPr>
          <w:rFonts w:asciiTheme="majorBidi" w:hAnsiTheme="majorBidi" w:cstheme="majorBidi"/>
          <w:i/>
          <w:iCs/>
          <w:sz w:val="24"/>
          <w:szCs w:val="24"/>
        </w:rPr>
        <w:t>English Language Teaching in the Islamic Republic of Iran: Innovations, Trends and Challenges, Chris Kennedy</w:t>
      </w:r>
      <w:r w:rsidRPr="0098127B">
        <w:rPr>
          <w:rFonts w:asciiTheme="majorBidi" w:hAnsiTheme="majorBidi" w:cstheme="majorBidi"/>
          <w:sz w:val="24"/>
          <w:szCs w:val="24"/>
        </w:rPr>
        <w:t xml:space="preserve">. British Council. </w:t>
      </w:r>
    </w:p>
    <w:p w14:paraId="4D242A38" w14:textId="77777777" w:rsidR="003C5F20" w:rsidRPr="0098127B" w:rsidRDefault="003C5F20" w:rsidP="006168EA">
      <w:pPr>
        <w:spacing w:line="480" w:lineRule="auto"/>
        <w:ind w:left="720" w:hanging="720"/>
        <w:rPr>
          <w:rFonts w:asciiTheme="majorBidi" w:hAnsiTheme="majorBidi" w:cstheme="majorBidi"/>
          <w:sz w:val="24"/>
          <w:szCs w:val="24"/>
        </w:rPr>
      </w:pPr>
      <w:bookmarkStart w:id="25" w:name="_Hlk206528031"/>
      <w:r w:rsidRPr="0098127B">
        <w:rPr>
          <w:rFonts w:asciiTheme="majorBidi" w:hAnsiTheme="majorBidi" w:cstheme="majorBidi"/>
          <w:sz w:val="24"/>
          <w:szCs w:val="24"/>
        </w:rPr>
        <w:t>Elbakay</w:t>
      </w:r>
      <w:bookmarkEnd w:id="25"/>
      <w:r w:rsidRPr="0098127B">
        <w:rPr>
          <w:rFonts w:asciiTheme="majorBidi" w:hAnsiTheme="majorBidi" w:cstheme="majorBidi"/>
          <w:sz w:val="24"/>
          <w:szCs w:val="24"/>
        </w:rPr>
        <w:t>, F. A., Zaglom, K. A., Elkut, K. S., &amp; Farid, A. (2024). The Impact of High-Stakes Examinations on Teaching Practices: A Case Study of Libyan Secondary School Teachers. </w:t>
      </w:r>
      <w:r w:rsidRPr="0098127B">
        <w:rPr>
          <w:rFonts w:asciiTheme="majorBidi" w:hAnsiTheme="majorBidi" w:cstheme="majorBidi"/>
          <w:i/>
          <w:iCs/>
          <w:sz w:val="24"/>
          <w:szCs w:val="24"/>
        </w:rPr>
        <w:t>African Journal of Advanced Studies in Humanities and Social Sciences</w:t>
      </w:r>
      <w:r w:rsidRPr="0098127B">
        <w:rPr>
          <w:rFonts w:asciiTheme="majorBidi" w:hAnsiTheme="majorBidi" w:cstheme="majorBidi"/>
          <w:sz w:val="24"/>
          <w:szCs w:val="24"/>
        </w:rPr>
        <w:t xml:space="preserve">, 505-514. </w:t>
      </w:r>
      <w:hyperlink r:id="rId29" w:history="1">
        <w:r w:rsidRPr="0098127B">
          <w:rPr>
            <w:rStyle w:val="Hyperlink"/>
            <w:rFonts w:asciiTheme="majorBidi" w:hAnsiTheme="majorBidi" w:cstheme="majorBidi"/>
            <w:sz w:val="24"/>
            <w:szCs w:val="24"/>
          </w:rPr>
          <w:t>https://aaasjournals.com/index.php/ajashss/index</w:t>
        </w:r>
      </w:hyperlink>
      <w:r w:rsidRPr="0098127B">
        <w:rPr>
          <w:rFonts w:asciiTheme="majorBidi" w:hAnsiTheme="majorBidi" w:cstheme="majorBidi"/>
          <w:sz w:val="24"/>
          <w:szCs w:val="24"/>
        </w:rPr>
        <w:t xml:space="preserve"> </w:t>
      </w:r>
    </w:p>
    <w:p w14:paraId="7F748CFE" w14:textId="77777777" w:rsidR="003C5F20" w:rsidRPr="0098127B" w:rsidRDefault="003C5F20" w:rsidP="006168EA">
      <w:pPr>
        <w:spacing w:line="480" w:lineRule="auto"/>
        <w:ind w:left="720" w:hanging="720"/>
        <w:rPr>
          <w:rFonts w:asciiTheme="majorBidi" w:hAnsiTheme="majorBidi" w:cstheme="majorBidi"/>
          <w:sz w:val="24"/>
          <w:szCs w:val="24"/>
        </w:rPr>
      </w:pPr>
      <w:bookmarkStart w:id="26" w:name="_Hlk206425416"/>
      <w:r w:rsidRPr="0098127B">
        <w:rPr>
          <w:rFonts w:asciiTheme="majorBidi" w:hAnsiTheme="majorBidi" w:cstheme="majorBidi"/>
          <w:sz w:val="24"/>
          <w:szCs w:val="24"/>
        </w:rPr>
        <w:lastRenderedPageBreak/>
        <w:t xml:space="preserve">Fayadh, A. P. D. I. H. (2017). Evaluating the English Textbook"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for the 2</w:t>
      </w:r>
      <w:r w:rsidRPr="0098127B">
        <w:rPr>
          <w:rFonts w:asciiTheme="majorBidi" w:hAnsiTheme="majorBidi" w:cstheme="majorBidi"/>
          <w:sz w:val="24"/>
          <w:szCs w:val="24"/>
          <w:vertAlign w:val="superscript"/>
        </w:rPr>
        <w:t>nd</w:t>
      </w:r>
      <w:r w:rsidRPr="0098127B">
        <w:rPr>
          <w:rFonts w:asciiTheme="majorBidi" w:hAnsiTheme="majorBidi" w:cstheme="majorBidi"/>
          <w:sz w:val="24"/>
          <w:szCs w:val="24"/>
        </w:rPr>
        <w:t xml:space="preserve"> Intermediate Stage. </w:t>
      </w:r>
      <w:r w:rsidRPr="0098127B">
        <w:rPr>
          <w:rFonts w:asciiTheme="majorBidi" w:hAnsiTheme="majorBidi" w:cstheme="majorBidi"/>
          <w:i/>
          <w:iCs/>
          <w:sz w:val="24"/>
          <w:szCs w:val="24"/>
        </w:rPr>
        <w:t>Journal of the College of Basic Education</w:t>
      </w:r>
      <w:r w:rsidRPr="0098127B">
        <w:rPr>
          <w:rFonts w:asciiTheme="majorBidi" w:hAnsiTheme="majorBidi" w:cstheme="majorBidi"/>
          <w:sz w:val="24"/>
          <w:szCs w:val="24"/>
        </w:rPr>
        <w:t>, </w:t>
      </w:r>
      <w:r w:rsidRPr="0098127B">
        <w:rPr>
          <w:rFonts w:asciiTheme="majorBidi" w:hAnsiTheme="majorBidi" w:cstheme="majorBidi"/>
          <w:i/>
          <w:iCs/>
          <w:sz w:val="24"/>
          <w:szCs w:val="24"/>
        </w:rPr>
        <w:t>23</w:t>
      </w:r>
      <w:r w:rsidRPr="0098127B">
        <w:rPr>
          <w:rFonts w:asciiTheme="majorBidi" w:hAnsiTheme="majorBidi" w:cstheme="majorBidi"/>
          <w:sz w:val="24"/>
          <w:szCs w:val="24"/>
        </w:rPr>
        <w:t xml:space="preserve">(99), 1-22. </w:t>
      </w:r>
      <w:hyperlink r:id="rId30" w:history="1">
        <w:r w:rsidRPr="0098127B">
          <w:rPr>
            <w:rStyle w:val="Hyperlink"/>
            <w:rFonts w:asciiTheme="majorBidi" w:hAnsiTheme="majorBidi" w:cstheme="majorBidi"/>
            <w:sz w:val="24"/>
            <w:szCs w:val="24"/>
          </w:rPr>
          <w:t>https://doi.org/10.35950/cbej.v23i99.6538</w:t>
        </w:r>
      </w:hyperlink>
      <w:r w:rsidRPr="0098127B">
        <w:rPr>
          <w:rFonts w:asciiTheme="majorBidi" w:hAnsiTheme="majorBidi" w:cstheme="majorBidi"/>
          <w:sz w:val="24"/>
          <w:szCs w:val="24"/>
        </w:rPr>
        <w:t xml:space="preserve"> </w:t>
      </w:r>
    </w:p>
    <w:p w14:paraId="3551E6A2"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Freire, P. (1970). The adult literacy process as cultural action for freedom. </w:t>
      </w:r>
      <w:r w:rsidRPr="0098127B">
        <w:rPr>
          <w:rFonts w:asciiTheme="majorBidi" w:hAnsiTheme="majorBidi" w:cstheme="majorBidi"/>
          <w:i/>
          <w:iCs/>
          <w:sz w:val="24"/>
          <w:szCs w:val="24"/>
        </w:rPr>
        <w:t>Harvard Educational Review</w:t>
      </w:r>
      <w:r w:rsidRPr="0098127B">
        <w:rPr>
          <w:rFonts w:asciiTheme="majorBidi" w:hAnsiTheme="majorBidi" w:cstheme="majorBidi"/>
          <w:sz w:val="24"/>
          <w:szCs w:val="24"/>
        </w:rPr>
        <w:t>, </w:t>
      </w:r>
      <w:r w:rsidRPr="0098127B">
        <w:rPr>
          <w:rFonts w:asciiTheme="majorBidi" w:hAnsiTheme="majorBidi" w:cstheme="majorBidi"/>
          <w:i/>
          <w:iCs/>
          <w:sz w:val="24"/>
          <w:szCs w:val="24"/>
        </w:rPr>
        <w:t>40</w:t>
      </w:r>
      <w:r w:rsidRPr="0098127B">
        <w:rPr>
          <w:rFonts w:asciiTheme="majorBidi" w:hAnsiTheme="majorBidi" w:cstheme="majorBidi"/>
          <w:sz w:val="24"/>
          <w:szCs w:val="24"/>
        </w:rPr>
        <w:t xml:space="preserve">(2), 205-225. </w:t>
      </w:r>
      <w:hyperlink r:id="rId31" w:history="1">
        <w:r w:rsidRPr="0098127B">
          <w:rPr>
            <w:rStyle w:val="Hyperlink"/>
            <w:rFonts w:asciiTheme="majorBidi" w:hAnsiTheme="majorBidi" w:cstheme="majorBidi"/>
            <w:sz w:val="24"/>
            <w:szCs w:val="24"/>
          </w:rPr>
          <w:t>https://doi.org/10.17763/haer.40.2.q7n227021n148p26</w:t>
        </w:r>
      </w:hyperlink>
      <w:r w:rsidRPr="0098127B">
        <w:rPr>
          <w:rFonts w:asciiTheme="majorBidi" w:hAnsiTheme="majorBidi" w:cstheme="majorBidi"/>
          <w:sz w:val="24"/>
          <w:szCs w:val="24"/>
        </w:rPr>
        <w:t xml:space="preserve"> </w:t>
      </w:r>
    </w:p>
    <w:p w14:paraId="2209A028" w14:textId="77777777" w:rsidR="003C5F20" w:rsidRPr="0098127B" w:rsidRDefault="003C5F20" w:rsidP="006168EA">
      <w:pPr>
        <w:spacing w:line="480" w:lineRule="auto"/>
        <w:ind w:left="720" w:hanging="720"/>
        <w:rPr>
          <w:rFonts w:asciiTheme="majorBidi" w:hAnsiTheme="majorBidi" w:cstheme="majorBidi"/>
          <w:sz w:val="24"/>
          <w:szCs w:val="24"/>
        </w:rPr>
      </w:pPr>
      <w:bookmarkStart w:id="27" w:name="_Hlk206507072"/>
      <w:bookmarkEnd w:id="26"/>
      <w:r w:rsidRPr="0098127B">
        <w:rPr>
          <w:rFonts w:asciiTheme="majorBidi" w:hAnsiTheme="majorBidi" w:cstheme="majorBidi"/>
          <w:sz w:val="24"/>
          <w:szCs w:val="24"/>
        </w:rPr>
        <w:t>Fuchs</w:t>
      </w:r>
      <w:bookmarkEnd w:id="27"/>
      <w:r w:rsidRPr="0098127B">
        <w:rPr>
          <w:rFonts w:asciiTheme="majorBidi" w:hAnsiTheme="majorBidi" w:cstheme="majorBidi"/>
          <w:sz w:val="24"/>
          <w:szCs w:val="24"/>
        </w:rPr>
        <w:t>, L. H. (2012). </w:t>
      </w:r>
      <w:r w:rsidRPr="0098127B">
        <w:rPr>
          <w:rFonts w:asciiTheme="majorBidi" w:hAnsiTheme="majorBidi" w:cstheme="majorBidi"/>
          <w:i/>
          <w:iCs/>
          <w:sz w:val="24"/>
          <w:szCs w:val="24"/>
        </w:rPr>
        <w:t>The impact of filtered Internet access on student learning in public schools</w:t>
      </w:r>
      <w:r w:rsidRPr="0098127B">
        <w:rPr>
          <w:rFonts w:asciiTheme="majorBidi" w:hAnsiTheme="majorBidi" w:cstheme="majorBidi"/>
          <w:sz w:val="24"/>
          <w:szCs w:val="24"/>
        </w:rPr>
        <w:t> (Doctoral dissertation, Walden University).</w:t>
      </w:r>
    </w:p>
    <w:p w14:paraId="6651E70F"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Gerdau, I., Kizilhan, J. I., &amp; Noll-Hussong, M. (2017). Posttraumatic stress disorder and related disorders among female Yazidi refugees following Islamic state of Iraq and Syria attacks—a case series and mini-review. </w:t>
      </w:r>
      <w:r w:rsidRPr="0098127B">
        <w:rPr>
          <w:rFonts w:asciiTheme="majorBidi" w:hAnsiTheme="majorBidi" w:cstheme="majorBidi"/>
          <w:i/>
          <w:iCs/>
          <w:sz w:val="24"/>
          <w:szCs w:val="24"/>
        </w:rPr>
        <w:t>Frontiers in Psychiatry</w:t>
      </w:r>
      <w:r w:rsidRPr="0098127B">
        <w:rPr>
          <w:rFonts w:asciiTheme="majorBidi" w:hAnsiTheme="majorBidi" w:cstheme="majorBidi"/>
          <w:sz w:val="24"/>
          <w:szCs w:val="24"/>
        </w:rPr>
        <w:t>, </w:t>
      </w:r>
      <w:r w:rsidRPr="0098127B">
        <w:rPr>
          <w:rFonts w:asciiTheme="majorBidi" w:hAnsiTheme="majorBidi" w:cstheme="majorBidi"/>
          <w:i/>
          <w:iCs/>
          <w:sz w:val="24"/>
          <w:szCs w:val="24"/>
        </w:rPr>
        <w:t>8</w:t>
      </w:r>
      <w:r w:rsidRPr="0098127B">
        <w:rPr>
          <w:rFonts w:asciiTheme="majorBidi" w:hAnsiTheme="majorBidi" w:cstheme="majorBidi"/>
          <w:sz w:val="24"/>
          <w:szCs w:val="24"/>
        </w:rPr>
        <w:t xml:space="preserve">, 282-303. </w:t>
      </w:r>
      <w:hyperlink r:id="rId32" w:history="1">
        <w:r w:rsidRPr="0098127B">
          <w:rPr>
            <w:rStyle w:val="Hyperlink"/>
            <w:rFonts w:asciiTheme="majorBidi" w:hAnsiTheme="majorBidi" w:cstheme="majorBidi"/>
            <w:sz w:val="24"/>
            <w:szCs w:val="24"/>
          </w:rPr>
          <w:t>https://doi.org/10.3389/fpsyt.2017.00282</w:t>
        </w:r>
      </w:hyperlink>
      <w:r w:rsidRPr="0098127B">
        <w:rPr>
          <w:rFonts w:asciiTheme="majorBidi" w:hAnsiTheme="majorBidi" w:cstheme="majorBidi"/>
          <w:sz w:val="24"/>
          <w:szCs w:val="24"/>
        </w:rPr>
        <w:t xml:space="preserve"> </w:t>
      </w:r>
    </w:p>
    <w:p w14:paraId="6F1A240E"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Ghalibafan, M. S., Ghalibafan, H., Ghodrati, H., &amp; Yazdanfar, N. (2025). Gender Delineation in High School English Textbooks: A Study of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3 And </w:t>
      </w:r>
      <w:r w:rsidRPr="0098127B">
        <w:rPr>
          <w:rFonts w:asciiTheme="majorBidi" w:hAnsiTheme="majorBidi" w:cstheme="majorBidi"/>
          <w:i/>
          <w:iCs/>
          <w:sz w:val="24"/>
          <w:szCs w:val="24"/>
        </w:rPr>
        <w:t>Vision</w:t>
      </w:r>
      <w:r w:rsidRPr="0098127B">
        <w:rPr>
          <w:rFonts w:asciiTheme="majorBidi" w:hAnsiTheme="majorBidi" w:cstheme="majorBidi"/>
          <w:sz w:val="24"/>
          <w:szCs w:val="24"/>
        </w:rPr>
        <w:t>. </w:t>
      </w:r>
      <w:r w:rsidRPr="0098127B">
        <w:rPr>
          <w:rFonts w:asciiTheme="majorBidi" w:hAnsiTheme="majorBidi" w:cstheme="majorBidi"/>
          <w:i/>
          <w:iCs/>
          <w:sz w:val="24"/>
          <w:szCs w:val="24"/>
        </w:rPr>
        <w:t>Journal of English for Specific Purposes Praxis</w:t>
      </w:r>
      <w:r w:rsidRPr="0098127B">
        <w:rPr>
          <w:rFonts w:asciiTheme="majorBidi" w:hAnsiTheme="majorBidi" w:cstheme="majorBidi"/>
          <w:sz w:val="24"/>
          <w:szCs w:val="24"/>
        </w:rPr>
        <w:t>, </w:t>
      </w:r>
      <w:r w:rsidRPr="0098127B">
        <w:rPr>
          <w:rFonts w:asciiTheme="majorBidi" w:hAnsiTheme="majorBidi" w:cstheme="majorBidi"/>
          <w:i/>
          <w:iCs/>
          <w:sz w:val="24"/>
          <w:szCs w:val="24"/>
        </w:rPr>
        <w:t>2</w:t>
      </w:r>
      <w:r w:rsidRPr="0098127B">
        <w:rPr>
          <w:rFonts w:asciiTheme="majorBidi" w:hAnsiTheme="majorBidi" w:cstheme="majorBidi"/>
          <w:sz w:val="24"/>
          <w:szCs w:val="24"/>
        </w:rPr>
        <w:t xml:space="preserve">(1), 25-44. </w:t>
      </w:r>
      <w:hyperlink r:id="rId33" w:history="1">
        <w:r w:rsidRPr="0098127B">
          <w:rPr>
            <w:rStyle w:val="Hyperlink"/>
            <w:rFonts w:asciiTheme="majorBidi" w:hAnsiTheme="majorBidi" w:cstheme="majorBidi"/>
            <w:sz w:val="24"/>
            <w:szCs w:val="24"/>
          </w:rPr>
          <w:t>https://doi.org/10.22034/jespp.2025.513538.1001</w:t>
        </w:r>
      </w:hyperlink>
      <w:r w:rsidRPr="0098127B">
        <w:rPr>
          <w:rFonts w:asciiTheme="majorBidi" w:hAnsiTheme="majorBidi" w:cstheme="majorBidi"/>
          <w:sz w:val="24"/>
          <w:szCs w:val="24"/>
        </w:rPr>
        <w:t xml:space="preserve"> </w:t>
      </w:r>
    </w:p>
    <w:p w14:paraId="58E625B8" w14:textId="77777777" w:rsidR="003C5F20" w:rsidRPr="0098127B" w:rsidRDefault="003C5F20" w:rsidP="006168EA">
      <w:pPr>
        <w:spacing w:line="480" w:lineRule="auto"/>
        <w:ind w:left="720" w:hanging="720"/>
        <w:rPr>
          <w:rFonts w:asciiTheme="majorBidi" w:hAnsiTheme="majorBidi" w:cstheme="majorBidi"/>
          <w:sz w:val="24"/>
          <w:szCs w:val="24"/>
        </w:rPr>
      </w:pPr>
      <w:bookmarkStart w:id="28" w:name="_Hlk206492484"/>
      <w:bookmarkStart w:id="29" w:name="_Hlk206506116"/>
      <w:r w:rsidRPr="0098127B">
        <w:rPr>
          <w:rFonts w:asciiTheme="majorBidi" w:hAnsiTheme="majorBidi" w:cstheme="majorBidi"/>
          <w:sz w:val="24"/>
          <w:szCs w:val="24"/>
        </w:rPr>
        <w:t>Gholami Pasand, P., &amp; Ghasemi</w:t>
      </w:r>
      <w:bookmarkEnd w:id="28"/>
      <w:r w:rsidRPr="0098127B">
        <w:rPr>
          <w:rFonts w:asciiTheme="majorBidi" w:hAnsiTheme="majorBidi" w:cstheme="majorBidi"/>
          <w:sz w:val="24"/>
          <w:szCs w:val="24"/>
        </w:rPr>
        <w:t>,</w:t>
      </w:r>
      <w:bookmarkEnd w:id="29"/>
      <w:r w:rsidRPr="0098127B">
        <w:rPr>
          <w:rFonts w:asciiTheme="majorBidi" w:hAnsiTheme="majorBidi" w:cstheme="majorBidi"/>
          <w:sz w:val="24"/>
          <w:szCs w:val="24"/>
        </w:rPr>
        <w:t xml:space="preserve"> A. A. (2018). An intercultural analysis of English language textbooks in Iran: The case of English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w:t>
      </w:r>
      <w:r w:rsidRPr="0098127B">
        <w:rPr>
          <w:rFonts w:asciiTheme="majorBidi" w:hAnsiTheme="majorBidi" w:cstheme="majorBidi"/>
          <w:i/>
          <w:iCs/>
          <w:sz w:val="24"/>
          <w:szCs w:val="24"/>
        </w:rPr>
        <w:t>Apples: Journal of Applied Language Studies, 12</w:t>
      </w:r>
      <w:r w:rsidRPr="0098127B">
        <w:rPr>
          <w:rFonts w:asciiTheme="majorBidi" w:hAnsiTheme="majorBidi" w:cstheme="majorBidi"/>
          <w:sz w:val="24"/>
          <w:szCs w:val="24"/>
        </w:rPr>
        <w:t xml:space="preserve">(1), 55-70. </w:t>
      </w:r>
      <w:hyperlink r:id="rId34" w:history="1">
        <w:r w:rsidRPr="0098127B">
          <w:rPr>
            <w:rStyle w:val="Hyperlink"/>
            <w:rFonts w:asciiTheme="majorBidi" w:hAnsiTheme="majorBidi" w:cstheme="majorBidi"/>
            <w:sz w:val="24"/>
            <w:szCs w:val="24"/>
          </w:rPr>
          <w:t>https://doi.org/10.17011/apples/urn.201804172107</w:t>
        </w:r>
      </w:hyperlink>
      <w:r w:rsidRPr="0098127B">
        <w:rPr>
          <w:rFonts w:asciiTheme="majorBidi" w:hAnsiTheme="majorBidi" w:cstheme="majorBidi"/>
          <w:sz w:val="24"/>
          <w:szCs w:val="24"/>
        </w:rPr>
        <w:t xml:space="preserve"> </w:t>
      </w:r>
    </w:p>
    <w:p w14:paraId="1041EEC5" w14:textId="77777777" w:rsidR="003C5F20" w:rsidRPr="0098127B" w:rsidRDefault="003C5F20" w:rsidP="003C5F20">
      <w:pPr>
        <w:spacing w:line="480" w:lineRule="auto"/>
        <w:ind w:left="720" w:hanging="720"/>
        <w:rPr>
          <w:rFonts w:asciiTheme="majorBidi" w:hAnsiTheme="majorBidi" w:cstheme="majorBidi"/>
          <w:sz w:val="24"/>
          <w:szCs w:val="24"/>
        </w:rPr>
      </w:pPr>
      <w:bookmarkStart w:id="30" w:name="_Hlk206431047"/>
      <w:r w:rsidRPr="0098127B">
        <w:rPr>
          <w:rFonts w:asciiTheme="majorBidi" w:hAnsiTheme="majorBidi" w:cstheme="majorBidi"/>
          <w:sz w:val="24"/>
          <w:szCs w:val="24"/>
        </w:rPr>
        <w:t>Gholaminejad, R., &amp; Raeisi-Vanani, A. (2021). English language teaching in Iranian mainstream schools: Pedagogical, societal and government policy environments. </w:t>
      </w:r>
      <w:r w:rsidRPr="0098127B">
        <w:rPr>
          <w:rFonts w:asciiTheme="majorBidi" w:hAnsiTheme="majorBidi" w:cstheme="majorBidi"/>
          <w:i/>
          <w:iCs/>
          <w:sz w:val="24"/>
          <w:szCs w:val="24"/>
        </w:rPr>
        <w:t>Issues in Educational Research</w:t>
      </w:r>
      <w:r w:rsidRPr="0098127B">
        <w:rPr>
          <w:rFonts w:asciiTheme="majorBidi" w:hAnsiTheme="majorBidi" w:cstheme="majorBidi"/>
          <w:sz w:val="24"/>
          <w:szCs w:val="24"/>
        </w:rPr>
        <w:t>, </w:t>
      </w:r>
      <w:r w:rsidRPr="0098127B">
        <w:rPr>
          <w:rFonts w:asciiTheme="majorBidi" w:hAnsiTheme="majorBidi" w:cstheme="majorBidi"/>
          <w:i/>
          <w:iCs/>
          <w:sz w:val="24"/>
          <w:szCs w:val="24"/>
        </w:rPr>
        <w:t>31</w:t>
      </w:r>
      <w:r w:rsidRPr="0098127B">
        <w:rPr>
          <w:rFonts w:asciiTheme="majorBidi" w:hAnsiTheme="majorBidi" w:cstheme="majorBidi"/>
          <w:sz w:val="24"/>
          <w:szCs w:val="24"/>
        </w:rPr>
        <w:t xml:space="preserve">(1), 111-129. </w:t>
      </w:r>
      <w:hyperlink r:id="rId35" w:history="1">
        <w:r w:rsidRPr="0098127B">
          <w:rPr>
            <w:rStyle w:val="Hyperlink"/>
            <w:rFonts w:asciiTheme="majorBidi" w:hAnsiTheme="majorBidi" w:cstheme="majorBidi"/>
            <w:sz w:val="24"/>
            <w:szCs w:val="24"/>
          </w:rPr>
          <w:t>https://doi.org/10.3316/informit.748915031941623</w:t>
        </w:r>
      </w:hyperlink>
    </w:p>
    <w:bookmarkEnd w:id="30"/>
    <w:p w14:paraId="417D1D59"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lastRenderedPageBreak/>
        <w:t>Gilakjani, A. P., Alizadeh, M., Khazaee, H., &amp; Behdani, R. S. (2025). Probing Iranian English Teachers' Communicative Activities and Perspectives on Iran’s Fundamental Reform Document of Education. </w:t>
      </w:r>
      <w:r w:rsidRPr="0098127B">
        <w:rPr>
          <w:rFonts w:asciiTheme="majorBidi" w:hAnsiTheme="majorBidi" w:cstheme="majorBidi"/>
          <w:i/>
          <w:iCs/>
          <w:sz w:val="24"/>
          <w:szCs w:val="24"/>
        </w:rPr>
        <w:t>Register Journal</w:t>
      </w:r>
      <w:r w:rsidRPr="0098127B">
        <w:rPr>
          <w:rFonts w:asciiTheme="majorBidi" w:hAnsiTheme="majorBidi" w:cstheme="majorBidi"/>
          <w:sz w:val="24"/>
          <w:szCs w:val="24"/>
        </w:rPr>
        <w:t>, </w:t>
      </w:r>
      <w:r w:rsidRPr="0098127B">
        <w:rPr>
          <w:rFonts w:asciiTheme="majorBidi" w:hAnsiTheme="majorBidi" w:cstheme="majorBidi"/>
          <w:i/>
          <w:iCs/>
          <w:sz w:val="24"/>
          <w:szCs w:val="24"/>
        </w:rPr>
        <w:t>18</w:t>
      </w:r>
      <w:r w:rsidRPr="0098127B">
        <w:rPr>
          <w:rFonts w:asciiTheme="majorBidi" w:hAnsiTheme="majorBidi" w:cstheme="majorBidi"/>
          <w:sz w:val="24"/>
          <w:szCs w:val="24"/>
        </w:rPr>
        <w:t xml:space="preserve">(1), 30-47. </w:t>
      </w:r>
      <w:hyperlink r:id="rId36" w:history="1">
        <w:r w:rsidRPr="0098127B">
          <w:rPr>
            <w:rStyle w:val="Hyperlink"/>
            <w:rFonts w:asciiTheme="majorBidi" w:hAnsiTheme="majorBidi" w:cstheme="majorBidi"/>
            <w:sz w:val="24"/>
            <w:szCs w:val="24"/>
          </w:rPr>
          <w:t>https://doi.org/10.18326/register.v18i1.30-47</w:t>
        </w:r>
      </w:hyperlink>
      <w:r w:rsidRPr="0098127B">
        <w:rPr>
          <w:rFonts w:asciiTheme="majorBidi" w:hAnsiTheme="majorBidi" w:cstheme="majorBidi"/>
          <w:sz w:val="24"/>
          <w:szCs w:val="24"/>
        </w:rPr>
        <w:t xml:space="preserve"> </w:t>
      </w:r>
    </w:p>
    <w:p w14:paraId="77DBB63F" w14:textId="77777777" w:rsidR="003C5F20" w:rsidRPr="0098127B" w:rsidRDefault="003C5F20" w:rsidP="006168EA">
      <w:pPr>
        <w:spacing w:line="480" w:lineRule="auto"/>
        <w:ind w:left="720" w:hanging="720"/>
        <w:rPr>
          <w:rFonts w:asciiTheme="majorBidi" w:hAnsiTheme="majorBidi" w:cstheme="majorBidi"/>
          <w:sz w:val="24"/>
          <w:szCs w:val="24"/>
        </w:rPr>
      </w:pPr>
      <w:bookmarkStart w:id="31" w:name="_Hlk206525023"/>
      <w:r w:rsidRPr="0098127B">
        <w:rPr>
          <w:rFonts w:asciiTheme="majorBidi" w:hAnsiTheme="majorBidi" w:cstheme="majorBidi"/>
          <w:sz w:val="24"/>
          <w:szCs w:val="24"/>
        </w:rPr>
        <w:t>Glasnović Gracin, D., &amp; Jukić Matić</w:t>
      </w:r>
      <w:bookmarkEnd w:id="31"/>
      <w:r w:rsidRPr="0098127B">
        <w:rPr>
          <w:rFonts w:asciiTheme="majorBidi" w:hAnsiTheme="majorBidi" w:cstheme="majorBidi"/>
          <w:sz w:val="24"/>
          <w:szCs w:val="24"/>
        </w:rPr>
        <w:t>, L. (2021). Use of textbooks and other resources in curriculum reform. A longitudinal case study. </w:t>
      </w:r>
      <w:r w:rsidRPr="0098127B">
        <w:rPr>
          <w:rFonts w:asciiTheme="majorBidi" w:hAnsiTheme="majorBidi" w:cstheme="majorBidi"/>
          <w:i/>
          <w:iCs/>
          <w:sz w:val="24"/>
          <w:szCs w:val="24"/>
        </w:rPr>
        <w:t>ZDM–Mathematics Education</w:t>
      </w:r>
      <w:r w:rsidRPr="0098127B">
        <w:rPr>
          <w:rFonts w:asciiTheme="majorBidi" w:hAnsiTheme="majorBidi" w:cstheme="majorBidi"/>
          <w:sz w:val="24"/>
          <w:szCs w:val="24"/>
        </w:rPr>
        <w:t>, </w:t>
      </w:r>
      <w:r w:rsidRPr="0098127B">
        <w:rPr>
          <w:rFonts w:asciiTheme="majorBidi" w:hAnsiTheme="majorBidi" w:cstheme="majorBidi"/>
          <w:i/>
          <w:iCs/>
          <w:sz w:val="24"/>
          <w:szCs w:val="24"/>
        </w:rPr>
        <w:t>53</w:t>
      </w:r>
      <w:r w:rsidRPr="0098127B">
        <w:rPr>
          <w:rFonts w:asciiTheme="majorBidi" w:hAnsiTheme="majorBidi" w:cstheme="majorBidi"/>
          <w:sz w:val="24"/>
          <w:szCs w:val="24"/>
        </w:rPr>
        <w:t xml:space="preserve">(6), 1373-1385. </w:t>
      </w:r>
      <w:hyperlink r:id="rId37" w:history="1">
        <w:r w:rsidRPr="0098127B">
          <w:rPr>
            <w:rStyle w:val="Hyperlink"/>
            <w:rFonts w:asciiTheme="majorBidi" w:hAnsiTheme="majorBidi" w:cstheme="majorBidi"/>
            <w:sz w:val="24"/>
            <w:szCs w:val="24"/>
          </w:rPr>
          <w:t>https://doi.org/10.1007/s11858-021-01271-0</w:t>
        </w:r>
      </w:hyperlink>
      <w:r w:rsidRPr="0098127B">
        <w:rPr>
          <w:rFonts w:asciiTheme="majorBidi" w:hAnsiTheme="majorBidi" w:cstheme="majorBidi"/>
          <w:sz w:val="24"/>
          <w:szCs w:val="24"/>
        </w:rPr>
        <w:t xml:space="preserve"> </w:t>
      </w:r>
    </w:p>
    <w:p w14:paraId="42EB83B3" w14:textId="77777777" w:rsidR="003C5F20" w:rsidRPr="0098127B" w:rsidRDefault="003C5F20" w:rsidP="006168EA">
      <w:pPr>
        <w:spacing w:line="480" w:lineRule="auto"/>
        <w:ind w:left="720" w:hanging="720"/>
        <w:rPr>
          <w:rFonts w:asciiTheme="majorBidi" w:hAnsiTheme="majorBidi" w:cstheme="majorBidi"/>
          <w:sz w:val="24"/>
          <w:szCs w:val="24"/>
        </w:rPr>
      </w:pPr>
      <w:bookmarkStart w:id="32" w:name="_Hlk198923050"/>
      <w:r w:rsidRPr="0098127B">
        <w:rPr>
          <w:rFonts w:asciiTheme="majorBidi" w:hAnsiTheme="majorBidi" w:cstheme="majorBidi"/>
          <w:sz w:val="24"/>
          <w:szCs w:val="24"/>
        </w:rPr>
        <w:t>Goldschmidt Jr, A. (2018). </w:t>
      </w:r>
      <w:r w:rsidRPr="0098127B">
        <w:rPr>
          <w:rFonts w:asciiTheme="majorBidi" w:hAnsiTheme="majorBidi" w:cstheme="majorBidi"/>
          <w:i/>
          <w:iCs/>
          <w:sz w:val="24"/>
          <w:szCs w:val="24"/>
        </w:rPr>
        <w:t>A concise history of the Middle East</w:t>
      </w:r>
      <w:r w:rsidRPr="0098127B">
        <w:rPr>
          <w:rFonts w:asciiTheme="majorBidi" w:hAnsiTheme="majorBidi" w:cstheme="majorBidi"/>
          <w:sz w:val="24"/>
          <w:szCs w:val="24"/>
        </w:rPr>
        <w:t>. Routledge.</w:t>
      </w:r>
    </w:p>
    <w:p w14:paraId="60284AC2"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Goodarzi, A., Weisi, H., &amp; Yousofi, N. (2020). CLT in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A predictive evaluation of Iranian junior high school English textbooks. </w:t>
      </w:r>
      <w:r w:rsidRPr="0098127B">
        <w:rPr>
          <w:rFonts w:asciiTheme="majorBidi" w:hAnsiTheme="majorBidi" w:cstheme="majorBidi"/>
          <w:i/>
          <w:iCs/>
          <w:sz w:val="24"/>
          <w:szCs w:val="24"/>
        </w:rPr>
        <w:t>Research in English Language Pedagogy (RELP)</w:t>
      </w:r>
      <w:r w:rsidRPr="0098127B">
        <w:rPr>
          <w:rFonts w:asciiTheme="majorBidi" w:hAnsiTheme="majorBidi" w:cstheme="majorBidi"/>
          <w:sz w:val="24"/>
          <w:szCs w:val="24"/>
        </w:rPr>
        <w:t>, </w:t>
      </w:r>
      <w:r w:rsidRPr="0098127B">
        <w:rPr>
          <w:rFonts w:asciiTheme="majorBidi" w:hAnsiTheme="majorBidi" w:cstheme="majorBidi"/>
          <w:i/>
          <w:iCs/>
          <w:sz w:val="24"/>
          <w:szCs w:val="24"/>
        </w:rPr>
        <w:t>8</w:t>
      </w:r>
      <w:r w:rsidRPr="0098127B">
        <w:rPr>
          <w:rFonts w:asciiTheme="majorBidi" w:hAnsiTheme="majorBidi" w:cstheme="majorBidi"/>
          <w:sz w:val="24"/>
          <w:szCs w:val="24"/>
        </w:rPr>
        <w:t xml:space="preserve">(1), 195- 112. </w:t>
      </w:r>
      <w:hyperlink r:id="rId38" w:history="1">
        <w:r w:rsidRPr="0098127B">
          <w:rPr>
            <w:rStyle w:val="Hyperlink"/>
            <w:rFonts w:asciiTheme="majorBidi" w:hAnsiTheme="majorBidi" w:cstheme="majorBidi"/>
            <w:sz w:val="24"/>
            <w:szCs w:val="24"/>
          </w:rPr>
          <w:t>https://doi.org/10.30486/relp.2020.1881368.1162</w:t>
        </w:r>
      </w:hyperlink>
      <w:r w:rsidRPr="0098127B">
        <w:rPr>
          <w:rFonts w:asciiTheme="majorBidi" w:hAnsiTheme="majorBidi" w:cstheme="majorBidi"/>
          <w:sz w:val="24"/>
          <w:szCs w:val="24"/>
        </w:rPr>
        <w:t xml:space="preserve"> </w:t>
      </w:r>
    </w:p>
    <w:p w14:paraId="04C8E16D" w14:textId="77777777" w:rsidR="003C5F20" w:rsidRPr="0098127B" w:rsidRDefault="003C5F20" w:rsidP="006168EA">
      <w:pPr>
        <w:spacing w:line="480" w:lineRule="auto"/>
        <w:ind w:left="720" w:hanging="720"/>
        <w:rPr>
          <w:rFonts w:asciiTheme="majorBidi" w:hAnsiTheme="majorBidi" w:cstheme="majorBidi"/>
          <w:sz w:val="24"/>
          <w:szCs w:val="24"/>
        </w:rPr>
      </w:pPr>
      <w:bookmarkStart w:id="33" w:name="_Hlk206426652"/>
      <w:r w:rsidRPr="0098127B">
        <w:rPr>
          <w:rFonts w:asciiTheme="majorBidi" w:hAnsiTheme="majorBidi" w:cstheme="majorBidi"/>
          <w:sz w:val="24"/>
          <w:szCs w:val="24"/>
        </w:rPr>
        <w:t>Haidar, S., &amp; Fang</w:t>
      </w:r>
      <w:bookmarkEnd w:id="33"/>
      <w:r w:rsidRPr="0098127B">
        <w:rPr>
          <w:rFonts w:asciiTheme="majorBidi" w:hAnsiTheme="majorBidi" w:cstheme="majorBidi"/>
          <w:sz w:val="24"/>
          <w:szCs w:val="24"/>
        </w:rPr>
        <w:t>, F. (2019). English language in education and globalization: A comparative analysis of the role of English in Pakistan and China. </w:t>
      </w:r>
      <w:r w:rsidRPr="0098127B">
        <w:rPr>
          <w:rFonts w:asciiTheme="majorBidi" w:hAnsiTheme="majorBidi" w:cstheme="majorBidi"/>
          <w:i/>
          <w:iCs/>
          <w:sz w:val="24"/>
          <w:szCs w:val="24"/>
        </w:rPr>
        <w:t>Asia Pacific Journal of Education</w:t>
      </w:r>
      <w:r w:rsidRPr="0098127B">
        <w:rPr>
          <w:rFonts w:asciiTheme="majorBidi" w:hAnsiTheme="majorBidi" w:cstheme="majorBidi"/>
          <w:sz w:val="24"/>
          <w:szCs w:val="24"/>
        </w:rPr>
        <w:t>, </w:t>
      </w:r>
      <w:r w:rsidRPr="0098127B">
        <w:rPr>
          <w:rFonts w:asciiTheme="majorBidi" w:hAnsiTheme="majorBidi" w:cstheme="majorBidi"/>
          <w:i/>
          <w:iCs/>
          <w:sz w:val="24"/>
          <w:szCs w:val="24"/>
        </w:rPr>
        <w:t>39</w:t>
      </w:r>
      <w:r w:rsidRPr="0098127B">
        <w:rPr>
          <w:rFonts w:asciiTheme="majorBidi" w:hAnsiTheme="majorBidi" w:cstheme="majorBidi"/>
          <w:sz w:val="24"/>
          <w:szCs w:val="24"/>
        </w:rPr>
        <w:t xml:space="preserve">(2), 165-176. </w:t>
      </w:r>
      <w:hyperlink r:id="rId39" w:history="1">
        <w:r w:rsidRPr="0098127B">
          <w:rPr>
            <w:rStyle w:val="Hyperlink"/>
            <w:rFonts w:asciiTheme="majorBidi" w:hAnsiTheme="majorBidi" w:cstheme="majorBidi"/>
            <w:sz w:val="24"/>
            <w:szCs w:val="24"/>
          </w:rPr>
          <w:t>https://doi.org/10.1080/02188791.2019.1569892</w:t>
        </w:r>
      </w:hyperlink>
      <w:r w:rsidRPr="0098127B">
        <w:rPr>
          <w:rFonts w:asciiTheme="majorBidi" w:hAnsiTheme="majorBidi" w:cstheme="majorBidi"/>
          <w:sz w:val="24"/>
          <w:szCs w:val="24"/>
        </w:rPr>
        <w:t xml:space="preserve"> </w:t>
      </w:r>
    </w:p>
    <w:p w14:paraId="297CCA1F" w14:textId="77777777" w:rsidR="003C5F20" w:rsidRPr="0098127B" w:rsidRDefault="003C5F20" w:rsidP="006168EA">
      <w:pPr>
        <w:spacing w:line="480" w:lineRule="auto"/>
        <w:ind w:left="720" w:hanging="720"/>
        <w:rPr>
          <w:rFonts w:asciiTheme="majorBidi" w:hAnsiTheme="majorBidi" w:cstheme="majorBidi"/>
          <w:sz w:val="24"/>
          <w:szCs w:val="24"/>
        </w:rPr>
      </w:pPr>
      <w:bookmarkStart w:id="34" w:name="_Hlk206525690"/>
      <w:r w:rsidRPr="0098127B">
        <w:rPr>
          <w:rFonts w:asciiTheme="majorBidi" w:hAnsiTheme="majorBidi" w:cstheme="majorBidi"/>
          <w:sz w:val="24"/>
          <w:szCs w:val="24"/>
        </w:rPr>
        <w:t>Huang</w:t>
      </w:r>
      <w:bookmarkEnd w:id="34"/>
      <w:r w:rsidRPr="0098127B">
        <w:rPr>
          <w:rFonts w:asciiTheme="majorBidi" w:hAnsiTheme="majorBidi" w:cstheme="majorBidi"/>
          <w:sz w:val="24"/>
          <w:szCs w:val="24"/>
        </w:rPr>
        <w:t>, P. (2019). Textbook interaction: A study of the language and cultural contextualisation of English learning textbooks. </w:t>
      </w:r>
      <w:r w:rsidRPr="0098127B">
        <w:rPr>
          <w:rFonts w:asciiTheme="majorBidi" w:hAnsiTheme="majorBidi" w:cstheme="majorBidi"/>
          <w:i/>
          <w:iCs/>
          <w:sz w:val="24"/>
          <w:szCs w:val="24"/>
        </w:rPr>
        <w:t>Learning, Culture and Social Interaction</w:t>
      </w:r>
      <w:r w:rsidRPr="0098127B">
        <w:rPr>
          <w:rFonts w:asciiTheme="majorBidi" w:hAnsiTheme="majorBidi" w:cstheme="majorBidi"/>
          <w:sz w:val="24"/>
          <w:szCs w:val="24"/>
        </w:rPr>
        <w:t>, </w:t>
      </w:r>
      <w:r w:rsidRPr="0098127B">
        <w:rPr>
          <w:rFonts w:asciiTheme="majorBidi" w:hAnsiTheme="majorBidi" w:cstheme="majorBidi"/>
          <w:i/>
          <w:iCs/>
          <w:sz w:val="24"/>
          <w:szCs w:val="24"/>
        </w:rPr>
        <w:t>21</w:t>
      </w:r>
      <w:r w:rsidRPr="0098127B">
        <w:rPr>
          <w:rFonts w:asciiTheme="majorBidi" w:hAnsiTheme="majorBidi" w:cstheme="majorBidi"/>
          <w:sz w:val="24"/>
          <w:szCs w:val="24"/>
        </w:rPr>
        <w:t xml:space="preserve">, 87-99. </w:t>
      </w:r>
      <w:hyperlink r:id="rId40" w:history="1">
        <w:r w:rsidRPr="0098127B">
          <w:rPr>
            <w:rStyle w:val="Hyperlink"/>
            <w:rFonts w:asciiTheme="majorBidi" w:hAnsiTheme="majorBidi" w:cstheme="majorBidi"/>
            <w:sz w:val="24"/>
            <w:szCs w:val="24"/>
          </w:rPr>
          <w:t>https://doi.org/10.1016/j.lcsi.2019.02.006</w:t>
        </w:r>
      </w:hyperlink>
      <w:r w:rsidRPr="0098127B">
        <w:rPr>
          <w:rFonts w:asciiTheme="majorBidi" w:hAnsiTheme="majorBidi" w:cstheme="majorBidi"/>
          <w:sz w:val="24"/>
          <w:szCs w:val="24"/>
        </w:rPr>
        <w:t xml:space="preserve"> </w:t>
      </w:r>
    </w:p>
    <w:bookmarkEnd w:id="32"/>
    <w:p w14:paraId="3362D197"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Huang, R., Tlili, A., Zhang, X., Sun, T., Wang, J., Sharma, R. C., ... &amp; Burgos, D. (2022). A comprehensive framework for comparing textbooks: Insights from the literature and experts. </w:t>
      </w:r>
      <w:r w:rsidRPr="0098127B">
        <w:rPr>
          <w:rFonts w:asciiTheme="majorBidi" w:hAnsiTheme="majorBidi" w:cstheme="majorBidi"/>
          <w:i/>
          <w:iCs/>
          <w:sz w:val="24"/>
          <w:szCs w:val="24"/>
        </w:rPr>
        <w:t>Sustainability</w:t>
      </w:r>
      <w:r w:rsidRPr="0098127B">
        <w:rPr>
          <w:rFonts w:asciiTheme="majorBidi" w:hAnsiTheme="majorBidi" w:cstheme="majorBidi"/>
          <w:sz w:val="24"/>
          <w:szCs w:val="24"/>
        </w:rPr>
        <w:t>, </w:t>
      </w:r>
      <w:r w:rsidRPr="0098127B">
        <w:rPr>
          <w:rFonts w:asciiTheme="majorBidi" w:hAnsiTheme="majorBidi" w:cstheme="majorBidi"/>
          <w:i/>
          <w:iCs/>
          <w:sz w:val="24"/>
          <w:szCs w:val="24"/>
        </w:rPr>
        <w:t>14</w:t>
      </w:r>
      <w:r w:rsidRPr="0098127B">
        <w:rPr>
          <w:rFonts w:asciiTheme="majorBidi" w:hAnsiTheme="majorBidi" w:cstheme="majorBidi"/>
          <w:sz w:val="24"/>
          <w:szCs w:val="24"/>
        </w:rPr>
        <w:t xml:space="preserve">(11), 6940. </w:t>
      </w:r>
      <w:hyperlink r:id="rId41" w:history="1">
        <w:r w:rsidRPr="0098127B">
          <w:rPr>
            <w:rStyle w:val="Hyperlink"/>
            <w:rFonts w:asciiTheme="majorBidi" w:hAnsiTheme="majorBidi" w:cstheme="majorBidi"/>
            <w:sz w:val="24"/>
            <w:szCs w:val="24"/>
          </w:rPr>
          <w:t>https://doi.org/10.3390/su14116940</w:t>
        </w:r>
      </w:hyperlink>
    </w:p>
    <w:p w14:paraId="781DDCEB" w14:textId="77777777" w:rsidR="003C5F20" w:rsidRPr="0098127B" w:rsidRDefault="003C5F20" w:rsidP="006168EA">
      <w:pPr>
        <w:spacing w:line="480" w:lineRule="auto"/>
        <w:ind w:left="720" w:hanging="720"/>
        <w:rPr>
          <w:rFonts w:asciiTheme="majorBidi" w:hAnsiTheme="majorBidi" w:cstheme="majorBidi"/>
          <w:sz w:val="24"/>
          <w:szCs w:val="24"/>
        </w:rPr>
      </w:pPr>
      <w:bookmarkStart w:id="35" w:name="_Hlk206425910"/>
      <w:bookmarkStart w:id="36" w:name="_Hlk206494057"/>
      <w:bookmarkStart w:id="37" w:name="_Hlk206425368"/>
      <w:r w:rsidRPr="0098127B">
        <w:rPr>
          <w:rFonts w:asciiTheme="majorBidi" w:hAnsiTheme="majorBidi" w:cstheme="majorBidi"/>
          <w:sz w:val="24"/>
          <w:szCs w:val="24"/>
        </w:rPr>
        <w:lastRenderedPageBreak/>
        <w:t>Iranmehr</w:t>
      </w:r>
      <w:bookmarkEnd w:id="35"/>
      <w:r w:rsidRPr="0098127B">
        <w:rPr>
          <w:rFonts w:asciiTheme="majorBidi" w:hAnsiTheme="majorBidi" w:cstheme="majorBidi"/>
          <w:sz w:val="24"/>
          <w:szCs w:val="24"/>
        </w:rPr>
        <w:t>, A., Davari, H., Nourzadeh, S., &amp; Hassani, G. (2024). English language education policy and practice in Iran and Saudi Arabia: A comparative study. </w:t>
      </w:r>
      <w:r w:rsidRPr="0098127B">
        <w:rPr>
          <w:rFonts w:asciiTheme="majorBidi" w:hAnsiTheme="majorBidi" w:cstheme="majorBidi"/>
          <w:i/>
          <w:iCs/>
          <w:sz w:val="24"/>
          <w:szCs w:val="24"/>
        </w:rPr>
        <w:t>Iranian Journal of Comparative Education</w:t>
      </w:r>
      <w:r w:rsidRPr="0098127B">
        <w:rPr>
          <w:rFonts w:asciiTheme="majorBidi" w:hAnsiTheme="majorBidi" w:cstheme="majorBidi"/>
          <w:sz w:val="24"/>
          <w:szCs w:val="24"/>
        </w:rPr>
        <w:t>, </w:t>
      </w:r>
      <w:r w:rsidRPr="0098127B">
        <w:rPr>
          <w:rFonts w:asciiTheme="majorBidi" w:hAnsiTheme="majorBidi" w:cstheme="majorBidi"/>
          <w:i/>
          <w:iCs/>
          <w:sz w:val="24"/>
          <w:szCs w:val="24"/>
        </w:rPr>
        <w:t>7</w:t>
      </w:r>
      <w:r w:rsidRPr="0098127B">
        <w:rPr>
          <w:rFonts w:asciiTheme="majorBidi" w:hAnsiTheme="majorBidi" w:cstheme="majorBidi"/>
          <w:sz w:val="24"/>
          <w:szCs w:val="24"/>
        </w:rPr>
        <w:t>(1), 2805-2826. https:// doi.org/</w:t>
      </w:r>
      <w:hyperlink r:id="rId42" w:history="1">
        <w:r w:rsidRPr="0098127B">
          <w:rPr>
            <w:rStyle w:val="Hyperlink"/>
            <w:rFonts w:asciiTheme="majorBidi" w:hAnsiTheme="majorBidi" w:cstheme="majorBidi"/>
            <w:sz w:val="24"/>
            <w:szCs w:val="24"/>
          </w:rPr>
          <w:t>10.22034/ijce.2023.409045.1515</w:t>
        </w:r>
      </w:hyperlink>
      <w:r w:rsidRPr="0098127B">
        <w:rPr>
          <w:rFonts w:asciiTheme="majorBidi" w:hAnsiTheme="majorBidi" w:cstheme="majorBidi"/>
          <w:sz w:val="24"/>
          <w:szCs w:val="24"/>
        </w:rPr>
        <w:t xml:space="preserve"> </w:t>
      </w:r>
    </w:p>
    <w:p w14:paraId="2CB11749" w14:textId="77777777" w:rsidR="003C5F20" w:rsidRPr="0098127B" w:rsidRDefault="003C5F20" w:rsidP="006168EA">
      <w:pPr>
        <w:spacing w:line="480" w:lineRule="auto"/>
        <w:ind w:left="720" w:hanging="720"/>
        <w:rPr>
          <w:rFonts w:asciiTheme="majorBidi" w:hAnsiTheme="majorBidi" w:cstheme="majorBidi"/>
          <w:sz w:val="24"/>
          <w:szCs w:val="24"/>
        </w:rPr>
      </w:pPr>
      <w:bookmarkStart w:id="38" w:name="_Hlk206506046"/>
      <w:bookmarkEnd w:id="36"/>
      <w:r w:rsidRPr="0098127B">
        <w:rPr>
          <w:rFonts w:asciiTheme="majorBidi" w:hAnsiTheme="majorBidi" w:cstheme="majorBidi"/>
          <w:sz w:val="24"/>
          <w:szCs w:val="24"/>
        </w:rPr>
        <w:t>Jafari</w:t>
      </w:r>
      <w:bookmarkEnd w:id="38"/>
      <w:r w:rsidRPr="0098127B">
        <w:rPr>
          <w:rFonts w:asciiTheme="majorBidi" w:hAnsiTheme="majorBidi" w:cstheme="majorBidi"/>
          <w:sz w:val="24"/>
          <w:szCs w:val="24"/>
        </w:rPr>
        <w:t xml:space="preserve">, S. M., Curle, S., &amp; Bahraman, M. (2024). An Evaluation of English Textbook"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3" in Iranian Junior High Schools: A Mixed Methods Study. </w:t>
      </w:r>
      <w:r w:rsidRPr="0098127B">
        <w:rPr>
          <w:rFonts w:asciiTheme="majorBidi" w:hAnsiTheme="majorBidi" w:cstheme="majorBidi"/>
          <w:i/>
          <w:iCs/>
          <w:sz w:val="24"/>
          <w:szCs w:val="24"/>
        </w:rPr>
        <w:t>Iranian Journal of Educational Research, 1</w:t>
      </w:r>
      <w:r w:rsidRPr="0098127B">
        <w:rPr>
          <w:rFonts w:asciiTheme="majorBidi" w:hAnsiTheme="majorBidi" w:cstheme="majorBidi"/>
          <w:sz w:val="24"/>
          <w:szCs w:val="24"/>
        </w:rPr>
        <w:t>, 1-34.</w:t>
      </w:r>
    </w:p>
    <w:bookmarkEnd w:id="37"/>
    <w:p w14:paraId="20D7255C"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Jasim, H. H., &amp; Jasim, R. R. (2021). Evaluating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textbook grade 5 in terms of textbook quality standards. </w:t>
      </w:r>
      <w:r w:rsidRPr="0098127B">
        <w:rPr>
          <w:rFonts w:asciiTheme="majorBidi" w:hAnsiTheme="majorBidi" w:cstheme="majorBidi"/>
          <w:i/>
          <w:iCs/>
          <w:sz w:val="24"/>
          <w:szCs w:val="24"/>
        </w:rPr>
        <w:t>International Journal of Humanities and Educational Research 3</w:t>
      </w:r>
      <w:r w:rsidRPr="0098127B">
        <w:rPr>
          <w:rFonts w:asciiTheme="majorBidi" w:hAnsiTheme="majorBidi" w:cstheme="majorBidi"/>
          <w:sz w:val="24"/>
          <w:szCs w:val="24"/>
        </w:rPr>
        <w:t>(4), 148-158. https://doi.org/</w:t>
      </w:r>
      <w:hyperlink r:id="rId43" w:tgtFrame="_blank" w:history="1">
        <w:r w:rsidRPr="0098127B">
          <w:rPr>
            <w:rStyle w:val="Hyperlink"/>
            <w:rFonts w:asciiTheme="majorBidi" w:hAnsiTheme="majorBidi" w:cstheme="majorBidi"/>
            <w:sz w:val="24"/>
            <w:szCs w:val="24"/>
          </w:rPr>
          <w:t>10.47832/2757-5403.4-3.14</w:t>
        </w:r>
      </w:hyperlink>
      <w:r w:rsidRPr="0098127B">
        <w:rPr>
          <w:rFonts w:asciiTheme="majorBidi" w:hAnsiTheme="majorBidi" w:cstheme="majorBidi"/>
          <w:sz w:val="24"/>
          <w:szCs w:val="24"/>
        </w:rPr>
        <w:t xml:space="preserve"> </w:t>
      </w:r>
    </w:p>
    <w:p w14:paraId="78C10C17"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Jasim, H. H., &amp; Jasim, R. R. (2024). Iraqi Teachers' Perspectives on Evaluating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Textbook Grade 4 in Terms of EFL Textbook Standards. </w:t>
      </w:r>
      <w:r w:rsidRPr="0098127B">
        <w:rPr>
          <w:rFonts w:asciiTheme="majorBidi" w:hAnsiTheme="majorBidi" w:cstheme="majorBidi"/>
          <w:i/>
          <w:iCs/>
          <w:sz w:val="24"/>
          <w:szCs w:val="24"/>
        </w:rPr>
        <w:t>Journal Of Language Studies</w:t>
      </w:r>
      <w:r w:rsidRPr="0098127B">
        <w:rPr>
          <w:rFonts w:asciiTheme="majorBidi" w:hAnsiTheme="majorBidi" w:cstheme="majorBidi"/>
          <w:sz w:val="24"/>
          <w:szCs w:val="24"/>
        </w:rPr>
        <w:t>, </w:t>
      </w:r>
      <w:r w:rsidRPr="0098127B">
        <w:rPr>
          <w:rFonts w:asciiTheme="majorBidi" w:hAnsiTheme="majorBidi" w:cstheme="majorBidi"/>
          <w:i/>
          <w:iCs/>
          <w:sz w:val="24"/>
          <w:szCs w:val="24"/>
        </w:rPr>
        <w:t>8</w:t>
      </w:r>
      <w:r w:rsidRPr="0098127B">
        <w:rPr>
          <w:rFonts w:asciiTheme="majorBidi" w:hAnsiTheme="majorBidi" w:cstheme="majorBidi"/>
          <w:sz w:val="24"/>
          <w:szCs w:val="24"/>
        </w:rPr>
        <w:t xml:space="preserve">(12), 292-312. </w:t>
      </w:r>
      <w:hyperlink r:id="rId44" w:history="1">
        <w:r w:rsidRPr="0098127B">
          <w:rPr>
            <w:rStyle w:val="Hyperlink"/>
            <w:rFonts w:asciiTheme="majorBidi" w:hAnsiTheme="majorBidi" w:cstheme="majorBidi"/>
            <w:sz w:val="24"/>
            <w:szCs w:val="24"/>
          </w:rPr>
          <w:t>https://doi.org/10.25130/Lang.8.12.17</w:t>
        </w:r>
      </w:hyperlink>
    </w:p>
    <w:p w14:paraId="2A64D679" w14:textId="77777777" w:rsidR="003C5F20" w:rsidRPr="0098127B" w:rsidRDefault="003C5F20" w:rsidP="006168EA">
      <w:pPr>
        <w:spacing w:line="480" w:lineRule="auto"/>
        <w:ind w:left="720" w:hanging="720"/>
        <w:rPr>
          <w:rFonts w:asciiTheme="majorBidi" w:hAnsiTheme="majorBidi" w:cstheme="majorBidi"/>
          <w:sz w:val="24"/>
          <w:szCs w:val="24"/>
        </w:rPr>
      </w:pPr>
      <w:bookmarkStart w:id="39" w:name="_Hlk206429529"/>
      <w:r w:rsidRPr="0098127B">
        <w:rPr>
          <w:rFonts w:asciiTheme="majorBidi" w:hAnsiTheme="majorBidi" w:cstheme="majorBidi"/>
          <w:sz w:val="24"/>
          <w:szCs w:val="24"/>
        </w:rPr>
        <w:t>Jubier</w:t>
      </w:r>
      <w:bookmarkEnd w:id="39"/>
      <w:r w:rsidRPr="0098127B">
        <w:rPr>
          <w:rFonts w:asciiTheme="majorBidi" w:hAnsiTheme="majorBidi" w:cstheme="majorBidi"/>
          <w:sz w:val="24"/>
          <w:szCs w:val="24"/>
        </w:rPr>
        <w:t>, M. M., Baharum, H. I., &amp; Said, S. M. (2025). Exploring the predictive value of self-regulation and thinking skills on the writing performance of Iraqi advanced EFL Learners on TOEFL iBT. </w:t>
      </w:r>
      <w:r w:rsidRPr="0098127B">
        <w:rPr>
          <w:rFonts w:asciiTheme="majorBidi" w:hAnsiTheme="majorBidi" w:cstheme="majorBidi"/>
          <w:i/>
          <w:iCs/>
          <w:sz w:val="24"/>
          <w:szCs w:val="24"/>
        </w:rPr>
        <w:t>The Asia-Pacific Education Researcher</w:t>
      </w:r>
      <w:r w:rsidRPr="0098127B">
        <w:rPr>
          <w:rFonts w:asciiTheme="majorBidi" w:hAnsiTheme="majorBidi" w:cstheme="majorBidi"/>
          <w:sz w:val="24"/>
          <w:szCs w:val="24"/>
        </w:rPr>
        <w:t>, </w:t>
      </w:r>
      <w:r w:rsidRPr="0098127B">
        <w:rPr>
          <w:rFonts w:asciiTheme="majorBidi" w:hAnsiTheme="majorBidi" w:cstheme="majorBidi"/>
          <w:i/>
          <w:iCs/>
          <w:sz w:val="24"/>
          <w:szCs w:val="24"/>
        </w:rPr>
        <w:t>34</w:t>
      </w:r>
      <w:r w:rsidRPr="0098127B">
        <w:rPr>
          <w:rFonts w:asciiTheme="majorBidi" w:hAnsiTheme="majorBidi" w:cstheme="majorBidi"/>
          <w:sz w:val="24"/>
          <w:szCs w:val="24"/>
        </w:rPr>
        <w:t xml:space="preserve">(3), 899-908. </w:t>
      </w:r>
      <w:hyperlink r:id="rId45" w:history="1">
        <w:r w:rsidRPr="0098127B">
          <w:rPr>
            <w:rStyle w:val="Hyperlink"/>
            <w:rFonts w:asciiTheme="majorBidi" w:hAnsiTheme="majorBidi" w:cstheme="majorBidi"/>
            <w:sz w:val="24"/>
            <w:szCs w:val="24"/>
          </w:rPr>
          <w:t>https://doi.org/10.1007/s40299-024-00906-6</w:t>
        </w:r>
      </w:hyperlink>
      <w:r w:rsidRPr="0098127B">
        <w:rPr>
          <w:rFonts w:asciiTheme="majorBidi" w:hAnsiTheme="majorBidi" w:cstheme="majorBidi"/>
          <w:sz w:val="24"/>
          <w:szCs w:val="24"/>
        </w:rPr>
        <w:t xml:space="preserve"> </w:t>
      </w:r>
    </w:p>
    <w:p w14:paraId="7984B2AD" w14:textId="77777777" w:rsidR="003C5F20" w:rsidRPr="0098127B" w:rsidRDefault="003C5F20" w:rsidP="006168EA">
      <w:pPr>
        <w:spacing w:line="480" w:lineRule="auto"/>
        <w:ind w:left="720" w:hanging="720"/>
        <w:rPr>
          <w:rFonts w:asciiTheme="majorBidi" w:hAnsiTheme="majorBidi" w:cstheme="majorBidi"/>
          <w:sz w:val="24"/>
          <w:szCs w:val="24"/>
        </w:rPr>
      </w:pPr>
      <w:bookmarkStart w:id="40" w:name="_Hlk206528163"/>
      <w:r w:rsidRPr="0098127B">
        <w:rPr>
          <w:rFonts w:asciiTheme="majorBidi" w:hAnsiTheme="majorBidi" w:cstheme="majorBidi"/>
          <w:sz w:val="24"/>
          <w:szCs w:val="24"/>
        </w:rPr>
        <w:t>Julie</w:t>
      </w:r>
      <w:bookmarkEnd w:id="40"/>
      <w:r w:rsidRPr="0098127B">
        <w:rPr>
          <w:rFonts w:asciiTheme="majorBidi" w:hAnsiTheme="majorBidi" w:cstheme="majorBidi"/>
          <w:sz w:val="24"/>
          <w:szCs w:val="24"/>
        </w:rPr>
        <w:t>, C., Mhakure, D., &amp; Okitowamba, O. (2019). Examination-driven teaching as an underpinning of Ledimtali. </w:t>
      </w:r>
      <w:r w:rsidRPr="0098127B">
        <w:rPr>
          <w:rFonts w:asciiTheme="majorBidi" w:hAnsiTheme="majorBidi" w:cstheme="majorBidi"/>
          <w:i/>
          <w:iCs/>
          <w:sz w:val="24"/>
          <w:szCs w:val="24"/>
        </w:rPr>
        <w:t>Caught in the act: Reflections on Confining Professional Development of Mathematics Teachers in a Collaborative Partnership</w:t>
      </w:r>
      <w:r w:rsidRPr="0098127B">
        <w:rPr>
          <w:rFonts w:asciiTheme="majorBidi" w:hAnsiTheme="majorBidi" w:cstheme="majorBidi"/>
          <w:sz w:val="24"/>
          <w:szCs w:val="24"/>
        </w:rPr>
        <w:t>, 162-187.</w:t>
      </w:r>
    </w:p>
    <w:p w14:paraId="72C78510"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Kardoust, A., &amp; Saeedian, A. (2021). Iranian EFL teachers’ conceptions and practices of communicative language teaching curriculum. </w:t>
      </w:r>
      <w:r w:rsidRPr="0098127B">
        <w:rPr>
          <w:rFonts w:asciiTheme="majorBidi" w:hAnsiTheme="majorBidi" w:cstheme="majorBidi"/>
          <w:i/>
          <w:iCs/>
          <w:sz w:val="24"/>
          <w:szCs w:val="24"/>
        </w:rPr>
        <w:t>Issues in Language Teaching</w:t>
      </w:r>
      <w:r w:rsidRPr="0098127B">
        <w:rPr>
          <w:rFonts w:asciiTheme="majorBidi" w:hAnsiTheme="majorBidi" w:cstheme="majorBidi"/>
          <w:sz w:val="24"/>
          <w:szCs w:val="24"/>
        </w:rPr>
        <w:t>, </w:t>
      </w:r>
      <w:r w:rsidRPr="0098127B">
        <w:rPr>
          <w:rFonts w:asciiTheme="majorBidi" w:hAnsiTheme="majorBidi" w:cstheme="majorBidi"/>
          <w:i/>
          <w:iCs/>
          <w:sz w:val="24"/>
          <w:szCs w:val="24"/>
        </w:rPr>
        <w:t>10</w:t>
      </w:r>
      <w:r w:rsidRPr="0098127B">
        <w:rPr>
          <w:rFonts w:asciiTheme="majorBidi" w:hAnsiTheme="majorBidi" w:cstheme="majorBidi"/>
          <w:sz w:val="24"/>
          <w:szCs w:val="24"/>
        </w:rPr>
        <w:t xml:space="preserve">(2), 171-202. </w:t>
      </w:r>
      <w:hyperlink r:id="rId46" w:history="1">
        <w:r w:rsidRPr="0098127B">
          <w:rPr>
            <w:rStyle w:val="Hyperlink"/>
            <w:rFonts w:asciiTheme="majorBidi" w:hAnsiTheme="majorBidi" w:cstheme="majorBidi"/>
            <w:sz w:val="24"/>
            <w:szCs w:val="24"/>
          </w:rPr>
          <w:t>https://doi.org/10.22054/ilt.2021.58226.569</w:t>
        </w:r>
      </w:hyperlink>
      <w:r w:rsidRPr="0098127B">
        <w:rPr>
          <w:rFonts w:asciiTheme="majorBidi" w:hAnsiTheme="majorBidi" w:cstheme="majorBidi"/>
          <w:sz w:val="24"/>
          <w:szCs w:val="24"/>
        </w:rPr>
        <w:t xml:space="preserve"> </w:t>
      </w:r>
    </w:p>
    <w:p w14:paraId="6B48BE81" w14:textId="77777777" w:rsidR="003C5F20" w:rsidRPr="0098127B" w:rsidRDefault="003C5F20" w:rsidP="006168EA">
      <w:pPr>
        <w:spacing w:line="480" w:lineRule="auto"/>
        <w:ind w:left="720" w:hanging="720"/>
        <w:rPr>
          <w:rFonts w:asciiTheme="majorBidi" w:hAnsiTheme="majorBidi" w:cstheme="majorBidi"/>
          <w:sz w:val="24"/>
          <w:szCs w:val="24"/>
        </w:rPr>
      </w:pPr>
      <w:bookmarkStart w:id="41" w:name="_Hlk206507749"/>
      <w:r w:rsidRPr="0098127B">
        <w:rPr>
          <w:rFonts w:asciiTheme="majorBidi" w:hAnsiTheme="majorBidi" w:cstheme="majorBidi"/>
          <w:sz w:val="24"/>
          <w:szCs w:val="24"/>
        </w:rPr>
        <w:lastRenderedPageBreak/>
        <w:t>Kheirabadi, R., &amp; Alavimoghaddam</w:t>
      </w:r>
      <w:bookmarkEnd w:id="41"/>
      <w:r w:rsidRPr="0098127B">
        <w:rPr>
          <w:rFonts w:asciiTheme="majorBidi" w:hAnsiTheme="majorBidi" w:cstheme="majorBidi"/>
          <w:sz w:val="24"/>
          <w:szCs w:val="24"/>
        </w:rPr>
        <w:t xml:space="preserve">, S. B. (2016). Evaluation of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A paradigm shift from GTM to CLT in Iran. </w:t>
      </w:r>
      <w:r w:rsidRPr="0098127B">
        <w:rPr>
          <w:rFonts w:asciiTheme="majorBidi" w:hAnsiTheme="majorBidi" w:cstheme="majorBidi"/>
          <w:i/>
          <w:iCs/>
          <w:sz w:val="24"/>
          <w:szCs w:val="24"/>
        </w:rPr>
        <w:t>Journal of Language Teaching and Research</w:t>
      </w:r>
      <w:r w:rsidRPr="0098127B">
        <w:rPr>
          <w:rFonts w:asciiTheme="majorBidi" w:hAnsiTheme="majorBidi" w:cstheme="majorBidi"/>
          <w:sz w:val="24"/>
          <w:szCs w:val="24"/>
        </w:rPr>
        <w:t>, </w:t>
      </w:r>
      <w:r w:rsidRPr="0098127B">
        <w:rPr>
          <w:rFonts w:asciiTheme="majorBidi" w:hAnsiTheme="majorBidi" w:cstheme="majorBidi"/>
          <w:i/>
          <w:iCs/>
          <w:sz w:val="24"/>
          <w:szCs w:val="24"/>
        </w:rPr>
        <w:t>7</w:t>
      </w:r>
      <w:r w:rsidRPr="0098127B">
        <w:rPr>
          <w:rFonts w:asciiTheme="majorBidi" w:hAnsiTheme="majorBidi" w:cstheme="majorBidi"/>
          <w:sz w:val="24"/>
          <w:szCs w:val="24"/>
        </w:rPr>
        <w:t xml:space="preserve">(3), 619-624. </w:t>
      </w:r>
      <w:hyperlink r:id="rId47" w:history="1">
        <w:r w:rsidRPr="0098127B">
          <w:rPr>
            <w:rStyle w:val="Hyperlink"/>
            <w:rFonts w:asciiTheme="majorBidi" w:hAnsiTheme="majorBidi" w:cstheme="majorBidi"/>
            <w:sz w:val="24"/>
            <w:szCs w:val="24"/>
          </w:rPr>
          <w:t>http://dx.doi.org/10.17507/jltr.0703.26</w:t>
        </w:r>
      </w:hyperlink>
      <w:r w:rsidRPr="0098127B">
        <w:rPr>
          <w:rFonts w:asciiTheme="majorBidi" w:hAnsiTheme="majorBidi" w:cstheme="majorBidi"/>
          <w:sz w:val="24"/>
          <w:szCs w:val="24"/>
        </w:rPr>
        <w:t xml:space="preserve"> </w:t>
      </w:r>
    </w:p>
    <w:p w14:paraId="60C15944"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Kiany, G. R., Mahdavi, B., &amp; GHAFAR, S. R. (2013). Comparing the fairness of high school English exams in Iran. </w:t>
      </w:r>
      <w:r w:rsidRPr="0098127B">
        <w:rPr>
          <w:rFonts w:asciiTheme="majorBidi" w:hAnsiTheme="majorBidi" w:cstheme="majorBidi"/>
          <w:i/>
          <w:iCs/>
          <w:sz w:val="24"/>
          <w:szCs w:val="24"/>
        </w:rPr>
        <w:t>Comparative Language and Literature Research, 4</w:t>
      </w:r>
      <w:r w:rsidRPr="0098127B">
        <w:rPr>
          <w:rFonts w:asciiTheme="majorBidi" w:hAnsiTheme="majorBidi" w:cstheme="majorBidi"/>
          <w:sz w:val="24"/>
          <w:szCs w:val="24"/>
        </w:rPr>
        <w:t xml:space="preserve">(13), 181-202. </w:t>
      </w:r>
      <w:hyperlink r:id="rId48" w:history="1">
        <w:r w:rsidRPr="0098127B">
          <w:rPr>
            <w:rStyle w:val="Hyperlink"/>
            <w:rFonts w:asciiTheme="majorBidi" w:hAnsiTheme="majorBidi" w:cstheme="majorBidi"/>
            <w:sz w:val="24"/>
            <w:szCs w:val="24"/>
          </w:rPr>
          <w:t>https://sid.ir/paper/166041/en</w:t>
        </w:r>
      </w:hyperlink>
      <w:r w:rsidRPr="0098127B">
        <w:rPr>
          <w:rFonts w:asciiTheme="majorBidi" w:hAnsiTheme="majorBidi" w:cstheme="majorBidi"/>
          <w:sz w:val="24"/>
          <w:szCs w:val="24"/>
        </w:rPr>
        <w:t xml:space="preserve"> </w:t>
      </w:r>
    </w:p>
    <w:p w14:paraId="748A7006" w14:textId="77777777" w:rsidR="003C5F20" w:rsidRPr="0098127B" w:rsidRDefault="003C5F20" w:rsidP="006168EA">
      <w:pPr>
        <w:spacing w:line="480" w:lineRule="auto"/>
        <w:ind w:left="720" w:hanging="720"/>
        <w:rPr>
          <w:rFonts w:asciiTheme="majorBidi" w:hAnsiTheme="majorBidi" w:cstheme="majorBidi"/>
          <w:sz w:val="24"/>
          <w:szCs w:val="24"/>
        </w:rPr>
      </w:pPr>
      <w:bookmarkStart w:id="42" w:name="_Hlk206426776"/>
      <w:r w:rsidRPr="0098127B">
        <w:rPr>
          <w:rFonts w:asciiTheme="majorBidi" w:hAnsiTheme="majorBidi" w:cstheme="majorBidi"/>
          <w:sz w:val="24"/>
          <w:szCs w:val="24"/>
        </w:rPr>
        <w:t>Kirkpatrick, A., &amp; Liddicoat, A. J. (2017). Language education policy and practice in East and Southeast Asia. </w:t>
      </w:r>
      <w:r w:rsidRPr="0098127B">
        <w:rPr>
          <w:rFonts w:asciiTheme="majorBidi" w:hAnsiTheme="majorBidi" w:cstheme="majorBidi"/>
          <w:i/>
          <w:iCs/>
          <w:sz w:val="24"/>
          <w:szCs w:val="24"/>
        </w:rPr>
        <w:t>Language Teaching</w:t>
      </w:r>
      <w:r w:rsidRPr="0098127B">
        <w:rPr>
          <w:rFonts w:asciiTheme="majorBidi" w:hAnsiTheme="majorBidi" w:cstheme="majorBidi"/>
          <w:sz w:val="24"/>
          <w:szCs w:val="24"/>
        </w:rPr>
        <w:t>, </w:t>
      </w:r>
      <w:r w:rsidRPr="0098127B">
        <w:rPr>
          <w:rFonts w:asciiTheme="majorBidi" w:hAnsiTheme="majorBidi" w:cstheme="majorBidi"/>
          <w:i/>
          <w:iCs/>
          <w:sz w:val="24"/>
          <w:szCs w:val="24"/>
        </w:rPr>
        <w:t>50</w:t>
      </w:r>
      <w:r w:rsidRPr="0098127B">
        <w:rPr>
          <w:rFonts w:asciiTheme="majorBidi" w:hAnsiTheme="majorBidi" w:cstheme="majorBidi"/>
          <w:sz w:val="24"/>
          <w:szCs w:val="24"/>
        </w:rPr>
        <w:t xml:space="preserve">(2), 155-188. </w:t>
      </w:r>
      <w:hyperlink r:id="rId49" w:history="1">
        <w:r w:rsidRPr="0098127B">
          <w:rPr>
            <w:rStyle w:val="Hyperlink"/>
            <w:rFonts w:asciiTheme="majorBidi" w:hAnsiTheme="majorBidi" w:cstheme="majorBidi"/>
            <w:sz w:val="24"/>
            <w:szCs w:val="24"/>
          </w:rPr>
          <w:t>https://doi.org/10.3828/ejlp.2017.3</w:t>
        </w:r>
      </w:hyperlink>
      <w:r w:rsidRPr="0098127B">
        <w:rPr>
          <w:rFonts w:asciiTheme="majorBidi" w:hAnsiTheme="majorBidi" w:cstheme="majorBidi"/>
          <w:sz w:val="24"/>
          <w:szCs w:val="24"/>
        </w:rPr>
        <w:t xml:space="preserve"> </w:t>
      </w:r>
    </w:p>
    <w:p w14:paraId="7DF88CB6"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Kurniawan, I. W. A. (2024). English Language and Its Importance as Global Communication.</w:t>
      </w:r>
      <w:r w:rsidRPr="0098127B">
        <w:rPr>
          <w:rFonts w:asciiTheme="majorBidi" w:hAnsiTheme="majorBidi" w:cstheme="majorBidi"/>
          <w:i/>
          <w:iCs/>
          <w:sz w:val="24"/>
          <w:szCs w:val="24"/>
        </w:rPr>
        <w:t xml:space="preserve"> International Journal of Social Studies</w:t>
      </w:r>
      <w:r w:rsidRPr="0098127B">
        <w:rPr>
          <w:rFonts w:asciiTheme="majorBidi" w:hAnsiTheme="majorBidi" w:cstheme="majorBidi"/>
          <w:sz w:val="24"/>
          <w:szCs w:val="24"/>
        </w:rPr>
        <w:t>, </w:t>
      </w:r>
      <w:r w:rsidRPr="0098127B">
        <w:rPr>
          <w:rFonts w:asciiTheme="majorBidi" w:hAnsiTheme="majorBidi" w:cstheme="majorBidi"/>
          <w:i/>
          <w:iCs/>
          <w:sz w:val="24"/>
          <w:szCs w:val="24"/>
        </w:rPr>
        <w:t>2</w:t>
      </w:r>
      <w:r w:rsidRPr="0098127B">
        <w:rPr>
          <w:rFonts w:asciiTheme="majorBidi" w:hAnsiTheme="majorBidi" w:cstheme="majorBidi"/>
          <w:sz w:val="24"/>
          <w:szCs w:val="24"/>
        </w:rPr>
        <w:t xml:space="preserve">(1), 51-57. </w:t>
      </w:r>
      <w:hyperlink r:id="rId50" w:history="1">
        <w:r w:rsidRPr="0098127B">
          <w:rPr>
            <w:rStyle w:val="Hyperlink"/>
            <w:rFonts w:asciiTheme="majorBidi" w:hAnsiTheme="majorBidi" w:cstheme="majorBidi"/>
            <w:sz w:val="24"/>
            <w:szCs w:val="24"/>
          </w:rPr>
          <w:t>https://doi.org/10.25078/ijoss.v2i1.3920</w:t>
        </w:r>
      </w:hyperlink>
      <w:r w:rsidRPr="0098127B">
        <w:rPr>
          <w:rFonts w:asciiTheme="majorBidi" w:hAnsiTheme="majorBidi" w:cstheme="majorBidi"/>
          <w:sz w:val="24"/>
          <w:szCs w:val="24"/>
        </w:rPr>
        <w:t xml:space="preserve"> </w:t>
      </w:r>
    </w:p>
    <w:p w14:paraId="50B15DBD"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Littlejohn, A. (1998). </w:t>
      </w:r>
      <w:r w:rsidRPr="0098127B">
        <w:rPr>
          <w:rFonts w:asciiTheme="majorBidi" w:hAnsiTheme="majorBidi" w:cstheme="majorBidi"/>
          <w:i/>
          <w:iCs/>
          <w:sz w:val="24"/>
          <w:szCs w:val="24"/>
        </w:rPr>
        <w:t>The analysis of language teaching materials: Inside the Trojan Horse</w:t>
      </w:r>
      <w:r w:rsidRPr="0098127B">
        <w:rPr>
          <w:rFonts w:asciiTheme="majorBidi" w:hAnsiTheme="majorBidi" w:cstheme="majorBidi"/>
          <w:sz w:val="24"/>
          <w:szCs w:val="24"/>
        </w:rPr>
        <w:t>. Language University Press.</w:t>
      </w:r>
    </w:p>
    <w:p w14:paraId="3F660502"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Liu, H. (2020). Ideologies in College EFL Textbooks--A Content Analysis Based on Critical Pedagogy?. </w:t>
      </w:r>
      <w:r w:rsidRPr="0098127B">
        <w:rPr>
          <w:rFonts w:asciiTheme="majorBidi" w:hAnsiTheme="majorBidi" w:cstheme="majorBidi"/>
          <w:i/>
          <w:iCs/>
          <w:sz w:val="24"/>
          <w:szCs w:val="24"/>
        </w:rPr>
        <w:t>Journal of Language Teaching &amp; Research</w:t>
      </w:r>
      <w:r w:rsidRPr="0098127B">
        <w:rPr>
          <w:rFonts w:asciiTheme="majorBidi" w:hAnsiTheme="majorBidi" w:cstheme="majorBidi"/>
          <w:sz w:val="24"/>
          <w:szCs w:val="24"/>
        </w:rPr>
        <w:t>, </w:t>
      </w:r>
      <w:r w:rsidRPr="0098127B">
        <w:rPr>
          <w:rFonts w:asciiTheme="majorBidi" w:hAnsiTheme="majorBidi" w:cstheme="majorBidi"/>
          <w:i/>
          <w:iCs/>
          <w:sz w:val="24"/>
          <w:szCs w:val="24"/>
        </w:rPr>
        <w:t>11</w:t>
      </w:r>
      <w:r w:rsidRPr="0098127B">
        <w:rPr>
          <w:rFonts w:asciiTheme="majorBidi" w:hAnsiTheme="majorBidi" w:cstheme="majorBidi"/>
          <w:sz w:val="24"/>
          <w:szCs w:val="24"/>
        </w:rPr>
        <w:t xml:space="preserve">(6), 13-25. </w:t>
      </w:r>
      <w:hyperlink r:id="rId51" w:history="1">
        <w:r w:rsidRPr="0098127B">
          <w:rPr>
            <w:rStyle w:val="Hyperlink"/>
            <w:rFonts w:asciiTheme="majorBidi" w:hAnsiTheme="majorBidi" w:cstheme="majorBidi"/>
            <w:sz w:val="24"/>
            <w:szCs w:val="24"/>
          </w:rPr>
          <w:t>https://doi.org/10.17507/jltr.1106.09</w:t>
        </w:r>
      </w:hyperlink>
      <w:r w:rsidRPr="0098127B">
        <w:rPr>
          <w:rFonts w:asciiTheme="majorBidi" w:hAnsiTheme="majorBidi" w:cstheme="majorBidi"/>
          <w:sz w:val="24"/>
          <w:szCs w:val="24"/>
        </w:rPr>
        <w:t xml:space="preserve"> </w:t>
      </w:r>
    </w:p>
    <w:bookmarkEnd w:id="42"/>
    <w:p w14:paraId="38916DBE" w14:textId="77777777" w:rsidR="003C5F20" w:rsidRPr="0098127B" w:rsidRDefault="003C5F20" w:rsidP="008715B9">
      <w:pPr>
        <w:spacing w:line="480" w:lineRule="auto"/>
        <w:ind w:left="720" w:hanging="720"/>
        <w:rPr>
          <w:rFonts w:asciiTheme="majorBidi" w:hAnsiTheme="majorBidi" w:cstheme="majorBidi"/>
          <w:sz w:val="24"/>
          <w:szCs w:val="24"/>
        </w:rPr>
      </w:pPr>
      <w:r w:rsidRPr="0098127B">
        <w:rPr>
          <w:rFonts w:asciiTheme="majorBidi" w:hAnsiTheme="majorBidi" w:cstheme="majorBidi"/>
          <w:color w:val="222222"/>
          <w:sz w:val="24"/>
          <w:szCs w:val="24"/>
          <w:shd w:val="clear" w:color="auto" w:fill="FFFFFF"/>
        </w:rPr>
        <w:t>Maghsoudi, M. (2020). Intercultural communicative competence in high school English textbooks of Iran and India: A comparative analysis. </w:t>
      </w:r>
      <w:r w:rsidRPr="0098127B">
        <w:rPr>
          <w:rFonts w:asciiTheme="majorBidi" w:hAnsiTheme="majorBidi" w:cstheme="majorBidi"/>
          <w:i/>
          <w:iCs/>
          <w:color w:val="222222"/>
          <w:sz w:val="24"/>
          <w:szCs w:val="24"/>
          <w:shd w:val="clear" w:color="auto" w:fill="FFFFFF"/>
        </w:rPr>
        <w:t>Iranian Journal of Comparative Education</w:t>
      </w:r>
      <w:r w:rsidRPr="0098127B">
        <w:rPr>
          <w:rFonts w:asciiTheme="majorBidi" w:hAnsiTheme="majorBidi" w:cstheme="majorBidi"/>
          <w:color w:val="222222"/>
          <w:sz w:val="24"/>
          <w:szCs w:val="24"/>
          <w:shd w:val="clear" w:color="auto" w:fill="FFFFFF"/>
        </w:rPr>
        <w:t>, </w:t>
      </w:r>
      <w:r w:rsidRPr="0098127B">
        <w:rPr>
          <w:rFonts w:asciiTheme="majorBidi" w:hAnsiTheme="majorBidi" w:cstheme="majorBidi"/>
          <w:i/>
          <w:iCs/>
          <w:color w:val="222222"/>
          <w:sz w:val="24"/>
          <w:szCs w:val="24"/>
          <w:shd w:val="clear" w:color="auto" w:fill="FFFFFF"/>
        </w:rPr>
        <w:t>3</w:t>
      </w:r>
      <w:r w:rsidRPr="0098127B">
        <w:rPr>
          <w:rFonts w:asciiTheme="majorBidi" w:hAnsiTheme="majorBidi" w:cstheme="majorBidi"/>
          <w:color w:val="222222"/>
          <w:sz w:val="24"/>
          <w:szCs w:val="24"/>
          <w:shd w:val="clear" w:color="auto" w:fill="FFFFFF"/>
        </w:rPr>
        <w:t>(4), 874-892.</w:t>
      </w:r>
      <w:r w:rsidRPr="0098127B">
        <w:rPr>
          <w:rFonts w:asciiTheme="majorBidi" w:hAnsiTheme="majorBidi" w:cstheme="majorBidi"/>
          <w:sz w:val="24"/>
          <w:szCs w:val="24"/>
        </w:rPr>
        <w:t xml:space="preserve"> </w:t>
      </w:r>
      <w:hyperlink r:id="rId52" w:history="1">
        <w:r w:rsidRPr="0098127B">
          <w:rPr>
            <w:rStyle w:val="Hyperlink"/>
            <w:rFonts w:asciiTheme="majorBidi" w:hAnsiTheme="majorBidi" w:cstheme="majorBidi"/>
            <w:sz w:val="24"/>
            <w:szCs w:val="24"/>
          </w:rPr>
          <w:t>https://doi.org/</w:t>
        </w:r>
        <w:r w:rsidRPr="0098127B">
          <w:rPr>
            <w:rStyle w:val="Hyperlink"/>
            <w:rFonts w:asciiTheme="majorBidi" w:hAnsiTheme="majorBidi" w:cstheme="majorBidi"/>
            <w:sz w:val="24"/>
            <w:szCs w:val="24"/>
            <w:shd w:val="clear" w:color="auto" w:fill="FFFFFF"/>
          </w:rPr>
          <w:t>10.22034/IJCE.2020.250406.1220</w:t>
        </w:r>
      </w:hyperlink>
      <w:r w:rsidRPr="0098127B">
        <w:rPr>
          <w:rFonts w:asciiTheme="majorBidi" w:hAnsiTheme="majorBidi" w:cstheme="majorBidi"/>
          <w:color w:val="222222"/>
          <w:sz w:val="24"/>
          <w:szCs w:val="24"/>
          <w:shd w:val="clear" w:color="auto" w:fill="FFFFFF"/>
        </w:rPr>
        <w:t xml:space="preserve"> </w:t>
      </w:r>
    </w:p>
    <w:p w14:paraId="3E2BE113" w14:textId="77777777" w:rsidR="003C5F20" w:rsidRPr="0098127B" w:rsidRDefault="003C5F20" w:rsidP="006168EA">
      <w:pPr>
        <w:spacing w:line="480" w:lineRule="auto"/>
        <w:ind w:left="720" w:hanging="720"/>
        <w:rPr>
          <w:rFonts w:asciiTheme="majorBidi" w:hAnsiTheme="majorBidi" w:cstheme="majorBidi"/>
          <w:sz w:val="24"/>
          <w:szCs w:val="24"/>
        </w:rPr>
      </w:pPr>
      <w:bookmarkStart w:id="43" w:name="_Hlk206431638"/>
      <w:r w:rsidRPr="0098127B">
        <w:rPr>
          <w:rFonts w:asciiTheme="majorBidi" w:hAnsiTheme="majorBidi" w:cstheme="majorBidi"/>
          <w:sz w:val="24"/>
          <w:szCs w:val="24"/>
        </w:rPr>
        <w:t>Majeed</w:t>
      </w:r>
      <w:bookmarkEnd w:id="43"/>
      <w:r w:rsidRPr="0098127B">
        <w:rPr>
          <w:rFonts w:asciiTheme="majorBidi" w:hAnsiTheme="majorBidi" w:cstheme="majorBidi"/>
          <w:sz w:val="24"/>
          <w:szCs w:val="24"/>
        </w:rPr>
        <w:t xml:space="preserve">, N. T. (2017). </w:t>
      </w:r>
      <w:r w:rsidRPr="0098127B">
        <w:rPr>
          <w:rFonts w:asciiTheme="majorBidi" w:hAnsiTheme="majorBidi" w:cstheme="majorBidi"/>
          <w:i/>
          <w:iCs/>
          <w:sz w:val="24"/>
          <w:szCs w:val="24"/>
        </w:rPr>
        <w:t>Evaluating the Effectiveness of English for Iraq 5th preparatory ‘Students Book’</w:t>
      </w:r>
      <w:r w:rsidRPr="0098127B">
        <w:rPr>
          <w:rFonts w:asciiTheme="majorBidi" w:hAnsiTheme="majorBidi" w:cstheme="majorBidi"/>
          <w:sz w:val="24"/>
          <w:szCs w:val="24"/>
        </w:rPr>
        <w:t xml:space="preserve">. The International Visible Conference on Educational Studies &amp; Applied Linguistics. </w:t>
      </w:r>
      <w:hyperlink r:id="rId53" w:history="1">
        <w:r w:rsidRPr="0098127B">
          <w:rPr>
            <w:rStyle w:val="Hyperlink"/>
            <w:rFonts w:asciiTheme="majorBidi" w:hAnsiTheme="majorBidi" w:cstheme="majorBidi"/>
            <w:sz w:val="24"/>
            <w:szCs w:val="24"/>
          </w:rPr>
          <w:t>https://doi.org/10.23918/vesal2017.a6</w:t>
        </w:r>
      </w:hyperlink>
      <w:r w:rsidRPr="0098127B">
        <w:rPr>
          <w:rFonts w:asciiTheme="majorBidi" w:hAnsiTheme="majorBidi" w:cstheme="majorBidi"/>
          <w:sz w:val="24"/>
          <w:szCs w:val="24"/>
        </w:rPr>
        <w:t xml:space="preserve"> </w:t>
      </w:r>
    </w:p>
    <w:p w14:paraId="34666195"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lastRenderedPageBreak/>
        <w:t>Malik, S., Hassan, H., &amp; Butt, D. A. A. (2022). Evaluating the textbooks of KPK board using Bloom's taxonomy of learning outcomes: A comparative study of English for grade X and XI. </w:t>
      </w:r>
      <w:r w:rsidRPr="0098127B">
        <w:rPr>
          <w:rFonts w:asciiTheme="majorBidi" w:hAnsiTheme="majorBidi" w:cstheme="majorBidi"/>
          <w:i/>
          <w:iCs/>
          <w:sz w:val="24"/>
          <w:szCs w:val="24"/>
        </w:rPr>
        <w:t>Pakistan Journal of Educational Research</w:t>
      </w:r>
      <w:r w:rsidRPr="0098127B">
        <w:rPr>
          <w:rFonts w:asciiTheme="majorBidi" w:hAnsiTheme="majorBidi" w:cstheme="majorBidi"/>
          <w:sz w:val="24"/>
          <w:szCs w:val="24"/>
        </w:rPr>
        <w:t>, </w:t>
      </w:r>
      <w:r w:rsidRPr="0098127B">
        <w:rPr>
          <w:rFonts w:asciiTheme="majorBidi" w:hAnsiTheme="majorBidi" w:cstheme="majorBidi"/>
          <w:i/>
          <w:iCs/>
          <w:sz w:val="24"/>
          <w:szCs w:val="24"/>
        </w:rPr>
        <w:t>5</w:t>
      </w:r>
      <w:r w:rsidRPr="0098127B">
        <w:rPr>
          <w:rFonts w:asciiTheme="majorBidi" w:hAnsiTheme="majorBidi" w:cstheme="majorBidi"/>
          <w:sz w:val="24"/>
          <w:szCs w:val="24"/>
        </w:rPr>
        <w:t xml:space="preserve">(4), 12-30. </w:t>
      </w:r>
      <w:hyperlink r:id="rId54" w:history="1">
        <w:r w:rsidRPr="0098127B">
          <w:rPr>
            <w:rStyle w:val="Hyperlink"/>
            <w:rFonts w:asciiTheme="majorBidi" w:hAnsiTheme="majorBidi" w:cstheme="majorBidi"/>
            <w:sz w:val="24"/>
            <w:szCs w:val="24"/>
          </w:rPr>
          <w:t>https://doi.org/10.52337/pjer.v5i4.662</w:t>
        </w:r>
      </w:hyperlink>
    </w:p>
    <w:p w14:paraId="56BA5623" w14:textId="77777777" w:rsidR="003C5F20" w:rsidRPr="0098127B" w:rsidRDefault="003C5F20" w:rsidP="006168EA">
      <w:pPr>
        <w:spacing w:line="480" w:lineRule="auto"/>
        <w:ind w:left="720" w:hanging="720"/>
        <w:rPr>
          <w:rFonts w:asciiTheme="majorBidi" w:hAnsiTheme="majorBidi" w:cstheme="majorBidi"/>
          <w:sz w:val="24"/>
          <w:szCs w:val="24"/>
        </w:rPr>
      </w:pPr>
      <w:bookmarkStart w:id="44" w:name="_Hlk206429745"/>
      <w:r w:rsidRPr="0098127B">
        <w:rPr>
          <w:rFonts w:asciiTheme="majorBidi" w:hAnsiTheme="majorBidi" w:cstheme="majorBidi"/>
          <w:sz w:val="24"/>
          <w:szCs w:val="24"/>
        </w:rPr>
        <w:t>Mathi</w:t>
      </w:r>
      <w:bookmarkEnd w:id="44"/>
      <w:r w:rsidRPr="0098127B">
        <w:rPr>
          <w:rFonts w:asciiTheme="majorBidi" w:hAnsiTheme="majorBidi" w:cstheme="majorBidi"/>
          <w:sz w:val="24"/>
          <w:szCs w:val="24"/>
        </w:rPr>
        <w:t xml:space="preserve">, M. B. (2020). Cultural aspects in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book 6. </w:t>
      </w:r>
      <w:r w:rsidRPr="0098127B">
        <w:rPr>
          <w:rFonts w:asciiTheme="majorBidi" w:hAnsiTheme="majorBidi" w:cstheme="majorBidi"/>
          <w:i/>
          <w:iCs/>
          <w:sz w:val="24"/>
          <w:szCs w:val="24"/>
        </w:rPr>
        <w:t>Talent Development &amp; Excellence</w:t>
      </w:r>
      <w:r w:rsidRPr="0098127B">
        <w:rPr>
          <w:rFonts w:asciiTheme="majorBidi" w:hAnsiTheme="majorBidi" w:cstheme="majorBidi"/>
          <w:sz w:val="24"/>
          <w:szCs w:val="24"/>
        </w:rPr>
        <w:t>, </w:t>
      </w:r>
      <w:r w:rsidRPr="0098127B">
        <w:rPr>
          <w:rFonts w:asciiTheme="majorBidi" w:hAnsiTheme="majorBidi" w:cstheme="majorBidi"/>
          <w:i/>
          <w:iCs/>
          <w:sz w:val="24"/>
          <w:szCs w:val="24"/>
        </w:rPr>
        <w:t>12</w:t>
      </w:r>
      <w:r w:rsidRPr="0098127B">
        <w:rPr>
          <w:rFonts w:asciiTheme="majorBidi" w:hAnsiTheme="majorBidi" w:cstheme="majorBidi"/>
          <w:sz w:val="24"/>
          <w:szCs w:val="24"/>
        </w:rPr>
        <w:t xml:space="preserve">(2), 2539-2550. </w:t>
      </w:r>
    </w:p>
    <w:p w14:paraId="458761B8"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McDonough, J., &amp; Shaw, C. (2003). </w:t>
      </w:r>
      <w:r w:rsidRPr="0098127B">
        <w:rPr>
          <w:rFonts w:asciiTheme="majorBidi" w:hAnsiTheme="majorBidi" w:cstheme="majorBidi"/>
          <w:i/>
          <w:iCs/>
          <w:sz w:val="24"/>
          <w:szCs w:val="24"/>
        </w:rPr>
        <w:t>Materials and methods in ELT</w:t>
      </w:r>
      <w:r w:rsidRPr="0098127B">
        <w:rPr>
          <w:rFonts w:asciiTheme="majorBidi" w:hAnsiTheme="majorBidi" w:cstheme="majorBidi"/>
          <w:sz w:val="24"/>
          <w:szCs w:val="24"/>
        </w:rPr>
        <w:t>. Blackwell.</w:t>
      </w:r>
    </w:p>
    <w:p w14:paraId="75BCA3FC"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McLaughlin, C., &amp; Ruby, A. (2021). </w:t>
      </w:r>
      <w:r w:rsidRPr="0098127B">
        <w:rPr>
          <w:rFonts w:asciiTheme="majorBidi" w:hAnsiTheme="majorBidi" w:cstheme="majorBidi"/>
          <w:i/>
          <w:iCs/>
          <w:sz w:val="24"/>
          <w:szCs w:val="24"/>
        </w:rPr>
        <w:t>Implementing educational reform: cases and challenges</w:t>
      </w:r>
      <w:r w:rsidRPr="0098127B">
        <w:rPr>
          <w:rFonts w:asciiTheme="majorBidi" w:hAnsiTheme="majorBidi" w:cstheme="majorBidi"/>
          <w:sz w:val="24"/>
          <w:szCs w:val="24"/>
        </w:rPr>
        <w:t xml:space="preserve">. Cambridge University Press. </w:t>
      </w:r>
    </w:p>
    <w:p w14:paraId="60EBFA13" w14:textId="77777777" w:rsidR="003C5F20" w:rsidRPr="0098127B" w:rsidRDefault="003C5F20" w:rsidP="006168EA">
      <w:pPr>
        <w:spacing w:line="480" w:lineRule="auto"/>
        <w:ind w:left="720" w:hanging="720"/>
        <w:rPr>
          <w:rFonts w:asciiTheme="majorBidi" w:hAnsiTheme="majorBidi" w:cstheme="majorBidi"/>
          <w:sz w:val="24"/>
          <w:szCs w:val="24"/>
        </w:rPr>
      </w:pPr>
      <w:bookmarkStart w:id="45" w:name="_Hlk206525436"/>
      <w:bookmarkStart w:id="46" w:name="_Hlk206425458"/>
      <w:r w:rsidRPr="0098127B">
        <w:rPr>
          <w:rFonts w:asciiTheme="majorBidi" w:hAnsiTheme="majorBidi" w:cstheme="majorBidi"/>
          <w:sz w:val="24"/>
          <w:szCs w:val="24"/>
        </w:rPr>
        <w:t>Mili, &amp; Winch</w:t>
      </w:r>
      <w:bookmarkEnd w:id="45"/>
      <w:r w:rsidRPr="0098127B">
        <w:rPr>
          <w:rFonts w:asciiTheme="majorBidi" w:hAnsiTheme="majorBidi" w:cstheme="majorBidi"/>
          <w:sz w:val="24"/>
          <w:szCs w:val="24"/>
        </w:rPr>
        <w:t>, C. (2019). Teaching through textbooks: Teachers as practitioners of a discipline?. </w:t>
      </w:r>
      <w:r w:rsidRPr="0098127B">
        <w:rPr>
          <w:rFonts w:asciiTheme="majorBidi" w:hAnsiTheme="majorBidi" w:cstheme="majorBidi"/>
          <w:i/>
          <w:iCs/>
          <w:sz w:val="24"/>
          <w:szCs w:val="24"/>
        </w:rPr>
        <w:t>Theory and Research in Edu cation</w:t>
      </w:r>
      <w:r w:rsidRPr="0098127B">
        <w:rPr>
          <w:rFonts w:asciiTheme="majorBidi" w:hAnsiTheme="majorBidi" w:cstheme="majorBidi"/>
          <w:sz w:val="24"/>
          <w:szCs w:val="24"/>
        </w:rPr>
        <w:t>, </w:t>
      </w:r>
      <w:r w:rsidRPr="0098127B">
        <w:rPr>
          <w:rFonts w:asciiTheme="majorBidi" w:hAnsiTheme="majorBidi" w:cstheme="majorBidi"/>
          <w:i/>
          <w:iCs/>
          <w:sz w:val="24"/>
          <w:szCs w:val="24"/>
        </w:rPr>
        <w:t>17</w:t>
      </w:r>
      <w:r w:rsidRPr="0098127B">
        <w:rPr>
          <w:rFonts w:asciiTheme="majorBidi" w:hAnsiTheme="majorBidi" w:cstheme="majorBidi"/>
          <w:sz w:val="24"/>
          <w:szCs w:val="24"/>
        </w:rPr>
        <w:t xml:space="preserve">(2), 181-201. </w:t>
      </w:r>
      <w:hyperlink r:id="rId55" w:history="1">
        <w:r w:rsidRPr="0098127B">
          <w:rPr>
            <w:rStyle w:val="Hyperlink"/>
            <w:rFonts w:asciiTheme="majorBidi" w:hAnsiTheme="majorBidi" w:cstheme="majorBidi"/>
            <w:sz w:val="24"/>
            <w:szCs w:val="24"/>
          </w:rPr>
          <w:t>https://doi.org/10.1177/1477878519862547</w:t>
        </w:r>
      </w:hyperlink>
      <w:r w:rsidRPr="0098127B">
        <w:rPr>
          <w:rFonts w:asciiTheme="majorBidi" w:hAnsiTheme="majorBidi" w:cstheme="majorBidi"/>
          <w:sz w:val="24"/>
          <w:szCs w:val="24"/>
        </w:rPr>
        <w:t xml:space="preserve"> </w:t>
      </w:r>
    </w:p>
    <w:p w14:paraId="57E58ABC"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Milton-Edwards, B. (2018). </w:t>
      </w:r>
      <w:r w:rsidRPr="0098127B">
        <w:rPr>
          <w:rFonts w:asciiTheme="majorBidi" w:hAnsiTheme="majorBidi" w:cstheme="majorBidi"/>
          <w:i/>
          <w:iCs/>
          <w:sz w:val="24"/>
          <w:szCs w:val="24"/>
        </w:rPr>
        <w:t>Contemporary politics in the Middle East</w:t>
      </w:r>
      <w:r w:rsidRPr="0098127B">
        <w:rPr>
          <w:rFonts w:asciiTheme="majorBidi" w:hAnsiTheme="majorBidi" w:cstheme="majorBidi"/>
          <w:sz w:val="24"/>
          <w:szCs w:val="24"/>
        </w:rPr>
        <w:t xml:space="preserve">. John Wiley &amp; Sons. </w:t>
      </w:r>
    </w:p>
    <w:p w14:paraId="1C08345A"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Mithans, M., &amp; Grmek, M. I. (2020). The use of textbooks in the teaching-learning process. </w:t>
      </w:r>
      <w:r w:rsidRPr="0098127B">
        <w:rPr>
          <w:rFonts w:asciiTheme="majorBidi" w:hAnsiTheme="majorBidi" w:cstheme="majorBidi"/>
          <w:i/>
          <w:iCs/>
          <w:sz w:val="24"/>
          <w:szCs w:val="24"/>
        </w:rPr>
        <w:t xml:space="preserve">New Horizons in Subject-Specific Education: Research Aspects of Subject-Specific </w:t>
      </w:r>
      <w:r w:rsidRPr="0098127B">
        <w:rPr>
          <w:rFonts w:asciiTheme="majorBidi" w:hAnsiTheme="majorBidi" w:cstheme="majorBidi"/>
          <w:sz w:val="24"/>
          <w:szCs w:val="24"/>
        </w:rPr>
        <w:t xml:space="preserve">Didactics, 3, 220-227. </w:t>
      </w:r>
      <w:hyperlink r:id="rId56" w:history="1">
        <w:r w:rsidRPr="0098127B">
          <w:rPr>
            <w:rStyle w:val="Hyperlink"/>
            <w:rFonts w:asciiTheme="majorBidi" w:hAnsiTheme="majorBidi" w:cstheme="majorBidi"/>
            <w:sz w:val="24"/>
            <w:szCs w:val="24"/>
          </w:rPr>
          <w:t>https://doi.org/10.18690/978-961-286-358-6.10</w:t>
        </w:r>
      </w:hyperlink>
      <w:r w:rsidRPr="0098127B">
        <w:rPr>
          <w:rFonts w:asciiTheme="majorBidi" w:hAnsiTheme="majorBidi" w:cstheme="majorBidi"/>
          <w:sz w:val="24"/>
          <w:szCs w:val="24"/>
        </w:rPr>
        <w:t xml:space="preserve"> </w:t>
      </w:r>
    </w:p>
    <w:p w14:paraId="01CD2350"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Molnar, T. (2017). </w:t>
      </w:r>
      <w:r w:rsidRPr="0098127B">
        <w:rPr>
          <w:rFonts w:asciiTheme="majorBidi" w:hAnsiTheme="majorBidi" w:cstheme="majorBidi"/>
          <w:i/>
          <w:iCs/>
          <w:sz w:val="24"/>
          <w:szCs w:val="24"/>
        </w:rPr>
        <w:t>Arab awakening and Islamic revival: The politics of ideas in the Middle East</w:t>
      </w:r>
      <w:r w:rsidRPr="0098127B">
        <w:rPr>
          <w:rFonts w:asciiTheme="majorBidi" w:hAnsiTheme="majorBidi" w:cstheme="majorBidi"/>
          <w:sz w:val="24"/>
          <w:szCs w:val="24"/>
        </w:rPr>
        <w:t>. Routledge.</w:t>
      </w:r>
    </w:p>
    <w:p w14:paraId="35D05389" w14:textId="77777777" w:rsidR="003C5F20" w:rsidRPr="0098127B" w:rsidRDefault="003C5F20" w:rsidP="006168EA">
      <w:pPr>
        <w:spacing w:line="480" w:lineRule="auto"/>
        <w:ind w:left="720" w:hanging="720"/>
        <w:rPr>
          <w:rFonts w:asciiTheme="majorBidi" w:hAnsiTheme="majorBidi" w:cstheme="majorBidi"/>
          <w:sz w:val="24"/>
          <w:szCs w:val="24"/>
        </w:rPr>
      </w:pPr>
      <w:bookmarkStart w:id="47" w:name="_Hlk206506690"/>
      <w:bookmarkEnd w:id="46"/>
      <w:r w:rsidRPr="0098127B">
        <w:rPr>
          <w:rFonts w:asciiTheme="majorBidi" w:hAnsiTheme="majorBidi" w:cstheme="majorBidi"/>
          <w:sz w:val="24"/>
          <w:szCs w:val="24"/>
        </w:rPr>
        <w:t>Mozaheb</w:t>
      </w:r>
      <w:bookmarkEnd w:id="47"/>
      <w:r w:rsidRPr="0098127B">
        <w:rPr>
          <w:rFonts w:asciiTheme="majorBidi" w:hAnsiTheme="majorBidi" w:cstheme="majorBidi"/>
          <w:sz w:val="24"/>
          <w:szCs w:val="24"/>
        </w:rPr>
        <w:t xml:space="preserve">, M. A., Sardabi, N., &amp; Moharrami, M. (2025). Gender Representation in Iranian EFL Textbooks: A Comparative Perspective on </w:t>
      </w:r>
      <w:r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and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w:t>
      </w:r>
      <w:r w:rsidRPr="0098127B">
        <w:rPr>
          <w:rFonts w:asciiTheme="majorBidi" w:hAnsiTheme="majorBidi" w:cstheme="majorBidi"/>
          <w:i/>
          <w:iCs/>
          <w:sz w:val="24"/>
          <w:szCs w:val="24"/>
        </w:rPr>
        <w:t>Journal of Foreign Language Teaching and Translation Studies</w:t>
      </w:r>
      <w:r w:rsidRPr="0098127B">
        <w:rPr>
          <w:rFonts w:asciiTheme="majorBidi" w:hAnsiTheme="majorBidi" w:cstheme="majorBidi"/>
          <w:sz w:val="24"/>
          <w:szCs w:val="24"/>
        </w:rPr>
        <w:t>, </w:t>
      </w:r>
      <w:r w:rsidRPr="0098127B">
        <w:rPr>
          <w:rFonts w:asciiTheme="majorBidi" w:hAnsiTheme="majorBidi" w:cstheme="majorBidi"/>
          <w:i/>
          <w:iCs/>
          <w:sz w:val="24"/>
          <w:szCs w:val="24"/>
        </w:rPr>
        <w:t>10</w:t>
      </w:r>
      <w:r w:rsidRPr="0098127B">
        <w:rPr>
          <w:rFonts w:asciiTheme="majorBidi" w:hAnsiTheme="majorBidi" w:cstheme="majorBidi"/>
          <w:sz w:val="24"/>
          <w:szCs w:val="24"/>
        </w:rPr>
        <w:t xml:space="preserve">(1), 1-16. </w:t>
      </w:r>
      <w:hyperlink r:id="rId57" w:history="1">
        <w:r w:rsidRPr="0098127B">
          <w:rPr>
            <w:rStyle w:val="Hyperlink"/>
            <w:rFonts w:asciiTheme="majorBidi" w:hAnsiTheme="majorBidi" w:cstheme="majorBidi"/>
            <w:sz w:val="24"/>
            <w:szCs w:val="24"/>
          </w:rPr>
          <w:t>https://doi.org/10.22034/efl.2025.499206.1337</w:t>
        </w:r>
      </w:hyperlink>
      <w:r w:rsidRPr="0098127B">
        <w:rPr>
          <w:rFonts w:asciiTheme="majorBidi" w:hAnsiTheme="majorBidi" w:cstheme="majorBidi"/>
          <w:sz w:val="24"/>
          <w:szCs w:val="24"/>
        </w:rPr>
        <w:t xml:space="preserve"> </w:t>
      </w:r>
    </w:p>
    <w:p w14:paraId="14216D57"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lastRenderedPageBreak/>
        <w:t>Mukundan, J., Hajimohammadi, R., &amp; Nimehchisalem, V. (2011). Developing an English Language Textbook Evaluation Checklist. </w:t>
      </w:r>
      <w:r w:rsidRPr="0098127B">
        <w:rPr>
          <w:rFonts w:asciiTheme="majorBidi" w:hAnsiTheme="majorBidi" w:cstheme="majorBidi"/>
          <w:i/>
          <w:iCs/>
          <w:sz w:val="24"/>
          <w:szCs w:val="24"/>
        </w:rPr>
        <w:t>Contemporary Issues in Education Research</w:t>
      </w:r>
      <w:r w:rsidRPr="0098127B">
        <w:rPr>
          <w:rFonts w:asciiTheme="majorBidi" w:hAnsiTheme="majorBidi" w:cstheme="majorBidi"/>
          <w:sz w:val="24"/>
          <w:szCs w:val="24"/>
        </w:rPr>
        <w:t>, </w:t>
      </w:r>
      <w:r w:rsidRPr="0098127B">
        <w:rPr>
          <w:rFonts w:asciiTheme="majorBidi" w:hAnsiTheme="majorBidi" w:cstheme="majorBidi"/>
          <w:i/>
          <w:iCs/>
          <w:sz w:val="24"/>
          <w:szCs w:val="24"/>
        </w:rPr>
        <w:t>4</w:t>
      </w:r>
      <w:r w:rsidRPr="0098127B">
        <w:rPr>
          <w:rFonts w:asciiTheme="majorBidi" w:hAnsiTheme="majorBidi" w:cstheme="majorBidi"/>
          <w:sz w:val="24"/>
          <w:szCs w:val="24"/>
        </w:rPr>
        <w:t xml:space="preserve">(6), 21-28. </w:t>
      </w:r>
      <w:hyperlink r:id="rId58" w:history="1">
        <w:r w:rsidRPr="0098127B">
          <w:rPr>
            <w:rStyle w:val="Hyperlink"/>
            <w:rFonts w:asciiTheme="majorBidi" w:hAnsiTheme="majorBidi" w:cstheme="majorBidi"/>
            <w:sz w:val="24"/>
            <w:szCs w:val="24"/>
          </w:rPr>
          <w:t>https://eric.ed.gov/?id=EJ1072790</w:t>
        </w:r>
      </w:hyperlink>
    </w:p>
    <w:p w14:paraId="616C606B" w14:textId="77777777" w:rsidR="003C5F20" w:rsidRPr="0098127B" w:rsidRDefault="003C5F20" w:rsidP="006168EA">
      <w:pPr>
        <w:spacing w:line="480" w:lineRule="auto"/>
        <w:ind w:left="720" w:hanging="720"/>
        <w:rPr>
          <w:rFonts w:asciiTheme="majorBidi" w:hAnsiTheme="majorBidi" w:cstheme="majorBidi"/>
          <w:sz w:val="24"/>
          <w:szCs w:val="24"/>
        </w:rPr>
      </w:pPr>
      <w:bookmarkStart w:id="48" w:name="_Hlk206525778"/>
      <w:r w:rsidRPr="0098127B">
        <w:rPr>
          <w:rFonts w:asciiTheme="majorBidi" w:hAnsiTheme="majorBidi" w:cstheme="majorBidi"/>
          <w:sz w:val="24"/>
          <w:szCs w:val="24"/>
        </w:rPr>
        <w:t>Mulyana</w:t>
      </w:r>
      <w:bookmarkEnd w:id="48"/>
      <w:r w:rsidRPr="0098127B">
        <w:rPr>
          <w:rFonts w:asciiTheme="majorBidi" w:hAnsiTheme="majorBidi" w:cstheme="majorBidi"/>
          <w:sz w:val="24"/>
          <w:szCs w:val="24"/>
        </w:rPr>
        <w:t>, R. (2023). Religious moderation in Islamic religious education textbook and implementation in Indonesia. </w:t>
      </w:r>
      <w:r w:rsidRPr="0098127B">
        <w:rPr>
          <w:rFonts w:asciiTheme="majorBidi" w:hAnsiTheme="majorBidi" w:cstheme="majorBidi"/>
          <w:i/>
          <w:iCs/>
          <w:sz w:val="24"/>
          <w:szCs w:val="24"/>
        </w:rPr>
        <w:t>HTS Teologiese Studies/Theological Studies</w:t>
      </w:r>
      <w:r w:rsidRPr="0098127B">
        <w:rPr>
          <w:rFonts w:asciiTheme="majorBidi" w:hAnsiTheme="majorBidi" w:cstheme="majorBidi"/>
          <w:sz w:val="24"/>
          <w:szCs w:val="24"/>
        </w:rPr>
        <w:t>, </w:t>
      </w:r>
      <w:r w:rsidRPr="0098127B">
        <w:rPr>
          <w:rFonts w:asciiTheme="majorBidi" w:hAnsiTheme="majorBidi" w:cstheme="majorBidi"/>
          <w:i/>
          <w:iCs/>
          <w:sz w:val="24"/>
          <w:szCs w:val="24"/>
        </w:rPr>
        <w:t>79</w:t>
      </w:r>
      <w:r w:rsidRPr="0098127B">
        <w:rPr>
          <w:rFonts w:asciiTheme="majorBidi" w:hAnsiTheme="majorBidi" w:cstheme="majorBidi"/>
          <w:sz w:val="24"/>
          <w:szCs w:val="24"/>
        </w:rPr>
        <w:t xml:space="preserve">(1), 85-92. </w:t>
      </w:r>
      <w:hyperlink r:id="rId59" w:history="1">
        <w:r w:rsidRPr="0098127B">
          <w:rPr>
            <w:rStyle w:val="Hyperlink"/>
            <w:rFonts w:asciiTheme="majorBidi" w:hAnsiTheme="majorBidi" w:cstheme="majorBidi"/>
            <w:sz w:val="24"/>
            <w:szCs w:val="24"/>
          </w:rPr>
          <w:t>https://hdl.handle.net/10520/ejc-hervorm_v79_n1_a8592</w:t>
        </w:r>
      </w:hyperlink>
      <w:r w:rsidRPr="0098127B">
        <w:rPr>
          <w:rFonts w:asciiTheme="majorBidi" w:hAnsiTheme="majorBidi" w:cstheme="majorBidi"/>
          <w:sz w:val="24"/>
          <w:szCs w:val="24"/>
        </w:rPr>
        <w:t xml:space="preserve"> </w:t>
      </w:r>
    </w:p>
    <w:p w14:paraId="15BBE375"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Nafashi, N., Dabaghi, A., &amp; Ketabi, S. (2024). Investigating Teachers' and Students’ Evaluation of the Textbook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for First and Second Grades of High School Based on Litz's Checklist. </w:t>
      </w:r>
      <w:r w:rsidRPr="0098127B">
        <w:rPr>
          <w:rFonts w:asciiTheme="majorBidi" w:hAnsiTheme="majorBidi" w:cstheme="majorBidi"/>
          <w:i/>
          <w:iCs/>
          <w:sz w:val="24"/>
          <w:szCs w:val="24"/>
        </w:rPr>
        <w:t>Al-Adab Journal, 1</w:t>
      </w:r>
      <w:r w:rsidRPr="0098127B">
        <w:rPr>
          <w:rFonts w:asciiTheme="majorBidi" w:hAnsiTheme="majorBidi" w:cstheme="majorBidi"/>
          <w:sz w:val="24"/>
          <w:szCs w:val="24"/>
        </w:rPr>
        <w:t xml:space="preserve">(150), 13-44. </w:t>
      </w:r>
      <w:hyperlink r:id="rId60" w:history="1">
        <w:r w:rsidRPr="0098127B">
          <w:rPr>
            <w:rStyle w:val="Hyperlink"/>
            <w:rFonts w:asciiTheme="majorBidi" w:hAnsiTheme="majorBidi" w:cstheme="majorBidi"/>
            <w:sz w:val="24"/>
            <w:szCs w:val="24"/>
          </w:rPr>
          <w:t>https://doi.org/10.31973/x9445d32</w:t>
        </w:r>
      </w:hyperlink>
      <w:r w:rsidRPr="0098127B">
        <w:rPr>
          <w:rFonts w:asciiTheme="majorBidi" w:hAnsiTheme="majorBidi" w:cstheme="majorBidi"/>
          <w:sz w:val="24"/>
          <w:szCs w:val="24"/>
        </w:rPr>
        <w:t xml:space="preserve"> </w:t>
      </w:r>
    </w:p>
    <w:p w14:paraId="6411B946"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Nasser, R. (2017). Qatar’s educational reform past and future: Challenges in teacher development. </w:t>
      </w:r>
      <w:r w:rsidRPr="0098127B">
        <w:rPr>
          <w:rFonts w:asciiTheme="majorBidi" w:hAnsiTheme="majorBidi" w:cstheme="majorBidi"/>
          <w:i/>
          <w:iCs/>
          <w:sz w:val="24"/>
          <w:szCs w:val="24"/>
        </w:rPr>
        <w:t>Open Review of Educational Research</w:t>
      </w:r>
      <w:r w:rsidRPr="0098127B">
        <w:rPr>
          <w:rFonts w:asciiTheme="majorBidi" w:hAnsiTheme="majorBidi" w:cstheme="majorBidi"/>
          <w:sz w:val="24"/>
          <w:szCs w:val="24"/>
        </w:rPr>
        <w:t>, </w:t>
      </w:r>
      <w:r w:rsidRPr="0098127B">
        <w:rPr>
          <w:rFonts w:asciiTheme="majorBidi" w:hAnsiTheme="majorBidi" w:cstheme="majorBidi"/>
          <w:i/>
          <w:iCs/>
          <w:sz w:val="24"/>
          <w:szCs w:val="24"/>
        </w:rPr>
        <w:t>4</w:t>
      </w:r>
      <w:r w:rsidRPr="0098127B">
        <w:rPr>
          <w:rFonts w:asciiTheme="majorBidi" w:hAnsiTheme="majorBidi" w:cstheme="majorBidi"/>
          <w:sz w:val="24"/>
          <w:szCs w:val="24"/>
        </w:rPr>
        <w:t xml:space="preserve">(1), 1-19. </w:t>
      </w:r>
      <w:hyperlink r:id="rId61" w:history="1">
        <w:r w:rsidRPr="0098127B">
          <w:rPr>
            <w:rStyle w:val="Hyperlink"/>
            <w:rFonts w:asciiTheme="majorBidi" w:hAnsiTheme="majorBidi" w:cstheme="majorBidi"/>
            <w:sz w:val="24"/>
            <w:szCs w:val="24"/>
          </w:rPr>
          <w:t>https://doi.org/10.1080/23265507.2016.1266693</w:t>
        </w:r>
      </w:hyperlink>
      <w:r w:rsidRPr="0098127B">
        <w:rPr>
          <w:rFonts w:asciiTheme="majorBidi" w:hAnsiTheme="majorBidi" w:cstheme="majorBidi"/>
          <w:sz w:val="24"/>
          <w:szCs w:val="24"/>
        </w:rPr>
        <w:t xml:space="preserve"> </w:t>
      </w:r>
    </w:p>
    <w:p w14:paraId="16FD8DFF" w14:textId="77777777" w:rsidR="003C5F20" w:rsidRPr="0098127B" w:rsidRDefault="003C5F20" w:rsidP="006168EA">
      <w:pPr>
        <w:spacing w:line="480" w:lineRule="auto"/>
        <w:ind w:left="720" w:hanging="720"/>
        <w:rPr>
          <w:rFonts w:asciiTheme="majorBidi" w:hAnsiTheme="majorBidi" w:cstheme="majorBidi"/>
          <w:sz w:val="24"/>
          <w:szCs w:val="24"/>
        </w:rPr>
      </w:pPr>
      <w:bookmarkStart w:id="49" w:name="_Hlk206525206"/>
      <w:bookmarkStart w:id="50" w:name="_Hlk206427367"/>
      <w:bookmarkStart w:id="51" w:name="_Hlk206425824"/>
      <w:r w:rsidRPr="0098127B">
        <w:rPr>
          <w:rFonts w:asciiTheme="majorBidi" w:hAnsiTheme="majorBidi" w:cstheme="majorBidi"/>
          <w:sz w:val="24"/>
          <w:szCs w:val="24"/>
        </w:rPr>
        <w:t>Nizamani, A., &amp; Shah</w:t>
      </w:r>
      <w:bookmarkEnd w:id="49"/>
      <w:r w:rsidRPr="0098127B">
        <w:rPr>
          <w:rFonts w:asciiTheme="majorBidi" w:hAnsiTheme="majorBidi" w:cstheme="majorBidi"/>
          <w:sz w:val="24"/>
          <w:szCs w:val="24"/>
        </w:rPr>
        <w:t>, W. A. (2024). Textbooks as ‘Neoliberal artifacts’: a critical study of knowledge-making in ELT industry. </w:t>
      </w:r>
      <w:r w:rsidRPr="0098127B">
        <w:rPr>
          <w:rFonts w:asciiTheme="majorBidi" w:hAnsiTheme="majorBidi" w:cstheme="majorBidi"/>
          <w:i/>
          <w:iCs/>
          <w:sz w:val="24"/>
          <w:szCs w:val="24"/>
        </w:rPr>
        <w:t>Critical Discourse Studies</w:t>
      </w:r>
      <w:r w:rsidRPr="0098127B">
        <w:rPr>
          <w:rFonts w:asciiTheme="majorBidi" w:hAnsiTheme="majorBidi" w:cstheme="majorBidi"/>
          <w:sz w:val="24"/>
          <w:szCs w:val="24"/>
        </w:rPr>
        <w:t>, </w:t>
      </w:r>
      <w:r w:rsidRPr="0098127B">
        <w:rPr>
          <w:rFonts w:asciiTheme="majorBidi" w:hAnsiTheme="majorBidi" w:cstheme="majorBidi"/>
          <w:i/>
          <w:iCs/>
          <w:sz w:val="24"/>
          <w:szCs w:val="24"/>
        </w:rPr>
        <w:t>21</w:t>
      </w:r>
      <w:r w:rsidRPr="0098127B">
        <w:rPr>
          <w:rFonts w:asciiTheme="majorBidi" w:hAnsiTheme="majorBidi" w:cstheme="majorBidi"/>
          <w:sz w:val="24"/>
          <w:szCs w:val="24"/>
        </w:rPr>
        <w:t xml:space="preserve">(3), 361-378. </w:t>
      </w:r>
      <w:hyperlink r:id="rId62" w:history="1">
        <w:r w:rsidRPr="0098127B">
          <w:rPr>
            <w:rStyle w:val="Hyperlink"/>
            <w:rFonts w:asciiTheme="majorBidi" w:hAnsiTheme="majorBidi" w:cstheme="majorBidi"/>
            <w:sz w:val="24"/>
            <w:szCs w:val="24"/>
          </w:rPr>
          <w:t>https://doi.org/10.1080/17405904.2022.2160364</w:t>
        </w:r>
      </w:hyperlink>
      <w:r w:rsidRPr="0098127B">
        <w:rPr>
          <w:rFonts w:asciiTheme="majorBidi" w:hAnsiTheme="majorBidi" w:cstheme="majorBidi"/>
          <w:sz w:val="24"/>
          <w:szCs w:val="24"/>
        </w:rPr>
        <w:t xml:space="preserve"> </w:t>
      </w:r>
    </w:p>
    <w:p w14:paraId="183D21C4"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Obaid, A. A., Ismail, L., Razali, A. B. M., Mansor, N. S., Othman, M., &amp; Aralas, D. (2019). A descriptive analysis of cultural content of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textbooks used in the intermediate schools in Iraq. </w:t>
      </w:r>
      <w:r w:rsidRPr="0098127B">
        <w:rPr>
          <w:rFonts w:asciiTheme="majorBidi" w:hAnsiTheme="majorBidi" w:cstheme="majorBidi"/>
          <w:i/>
          <w:iCs/>
          <w:sz w:val="24"/>
          <w:szCs w:val="24"/>
        </w:rPr>
        <w:t>International Journal of Applied Linguistics and English Literature</w:t>
      </w:r>
      <w:r w:rsidRPr="0098127B">
        <w:rPr>
          <w:rFonts w:asciiTheme="majorBidi" w:hAnsiTheme="majorBidi" w:cstheme="majorBidi"/>
          <w:sz w:val="24"/>
          <w:szCs w:val="24"/>
        </w:rPr>
        <w:t>, </w:t>
      </w:r>
      <w:r w:rsidRPr="0098127B">
        <w:rPr>
          <w:rFonts w:asciiTheme="majorBidi" w:hAnsiTheme="majorBidi" w:cstheme="majorBidi"/>
          <w:i/>
          <w:iCs/>
          <w:sz w:val="24"/>
          <w:szCs w:val="24"/>
        </w:rPr>
        <w:t>8</w:t>
      </w:r>
      <w:r w:rsidRPr="0098127B">
        <w:rPr>
          <w:rFonts w:asciiTheme="majorBidi" w:hAnsiTheme="majorBidi" w:cstheme="majorBidi"/>
          <w:sz w:val="24"/>
          <w:szCs w:val="24"/>
        </w:rPr>
        <w:t>(4), 88-99.  </w:t>
      </w:r>
      <w:hyperlink r:id="rId63" w:history="1">
        <w:r w:rsidRPr="0098127B">
          <w:rPr>
            <w:rStyle w:val="Hyperlink"/>
            <w:rFonts w:asciiTheme="majorBidi" w:hAnsiTheme="majorBidi" w:cstheme="majorBidi"/>
            <w:sz w:val="24"/>
            <w:szCs w:val="24"/>
          </w:rPr>
          <w:t>https://doi.org/10.7575/aiac.ijalel.v.8n.4p.88</w:t>
        </w:r>
      </w:hyperlink>
      <w:r w:rsidRPr="0098127B">
        <w:rPr>
          <w:rFonts w:asciiTheme="majorBidi" w:hAnsiTheme="majorBidi" w:cstheme="majorBidi"/>
          <w:sz w:val="24"/>
          <w:szCs w:val="24"/>
        </w:rPr>
        <w:t xml:space="preserve"> </w:t>
      </w:r>
    </w:p>
    <w:bookmarkEnd w:id="50"/>
    <w:p w14:paraId="7C452388"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Or, I. G. (2017). Language policy and education in the Middle East and North Africa. In </w:t>
      </w:r>
      <w:r w:rsidRPr="0098127B">
        <w:rPr>
          <w:rFonts w:asciiTheme="majorBidi" w:hAnsiTheme="majorBidi" w:cstheme="majorBidi"/>
          <w:i/>
          <w:iCs/>
          <w:sz w:val="24"/>
          <w:szCs w:val="24"/>
        </w:rPr>
        <w:t>Language policy and political issues in education</w:t>
      </w:r>
      <w:r w:rsidRPr="0098127B">
        <w:rPr>
          <w:rFonts w:asciiTheme="majorBidi" w:hAnsiTheme="majorBidi" w:cstheme="majorBidi"/>
          <w:sz w:val="24"/>
          <w:szCs w:val="24"/>
        </w:rPr>
        <w:t xml:space="preserve"> (pp. 531-543). Cham. </w:t>
      </w:r>
    </w:p>
    <w:p w14:paraId="0371159E"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lastRenderedPageBreak/>
        <w:t>Ornstein, A. C. (2013). The textbook-driven curriculum. In </w:t>
      </w:r>
      <w:r w:rsidRPr="0098127B">
        <w:rPr>
          <w:rFonts w:asciiTheme="majorBidi" w:hAnsiTheme="majorBidi" w:cstheme="majorBidi"/>
          <w:i/>
          <w:iCs/>
          <w:sz w:val="24"/>
          <w:szCs w:val="24"/>
        </w:rPr>
        <w:t>Our Evolving Curriculum</w:t>
      </w:r>
      <w:r w:rsidRPr="0098127B">
        <w:rPr>
          <w:rFonts w:asciiTheme="majorBidi" w:hAnsiTheme="majorBidi" w:cstheme="majorBidi"/>
          <w:sz w:val="24"/>
          <w:szCs w:val="24"/>
        </w:rPr>
        <w:t> (pp. 70-85). Routledge.</w:t>
      </w:r>
    </w:p>
    <w:p w14:paraId="36325F9A" w14:textId="77777777" w:rsidR="003C5F20" w:rsidRPr="0098127B" w:rsidRDefault="003C5F20" w:rsidP="006168EA">
      <w:pPr>
        <w:spacing w:line="480" w:lineRule="auto"/>
        <w:ind w:left="720" w:hanging="720"/>
        <w:rPr>
          <w:rFonts w:asciiTheme="majorBidi" w:hAnsiTheme="majorBidi" w:cstheme="majorBidi"/>
          <w:sz w:val="24"/>
          <w:szCs w:val="24"/>
        </w:rPr>
      </w:pPr>
      <w:bookmarkStart w:id="52" w:name="_Hlk206427045"/>
      <w:bookmarkEnd w:id="51"/>
      <w:r w:rsidRPr="0098127B">
        <w:rPr>
          <w:rFonts w:asciiTheme="majorBidi" w:hAnsiTheme="majorBidi" w:cstheme="majorBidi"/>
          <w:sz w:val="24"/>
          <w:szCs w:val="24"/>
        </w:rPr>
        <w:t>Phillipson</w:t>
      </w:r>
      <w:bookmarkEnd w:id="52"/>
      <w:r w:rsidRPr="0098127B">
        <w:rPr>
          <w:rFonts w:asciiTheme="majorBidi" w:hAnsiTheme="majorBidi" w:cstheme="majorBidi"/>
          <w:sz w:val="24"/>
          <w:szCs w:val="24"/>
        </w:rPr>
        <w:t>, R. (2017). Myths and realities of ‘global’ English. </w:t>
      </w:r>
      <w:r w:rsidRPr="0098127B">
        <w:rPr>
          <w:rFonts w:asciiTheme="majorBidi" w:hAnsiTheme="majorBidi" w:cstheme="majorBidi"/>
          <w:i/>
          <w:iCs/>
          <w:sz w:val="24"/>
          <w:szCs w:val="24"/>
        </w:rPr>
        <w:t>Language Policy</w:t>
      </w:r>
      <w:r w:rsidRPr="0098127B">
        <w:rPr>
          <w:rFonts w:asciiTheme="majorBidi" w:hAnsiTheme="majorBidi" w:cstheme="majorBidi"/>
          <w:sz w:val="24"/>
          <w:szCs w:val="24"/>
        </w:rPr>
        <w:t>, </w:t>
      </w:r>
      <w:r w:rsidRPr="0098127B">
        <w:rPr>
          <w:rFonts w:asciiTheme="majorBidi" w:hAnsiTheme="majorBidi" w:cstheme="majorBidi"/>
          <w:i/>
          <w:iCs/>
          <w:sz w:val="24"/>
          <w:szCs w:val="24"/>
        </w:rPr>
        <w:t>16</w:t>
      </w:r>
      <w:r w:rsidRPr="0098127B">
        <w:rPr>
          <w:rFonts w:asciiTheme="majorBidi" w:hAnsiTheme="majorBidi" w:cstheme="majorBidi"/>
          <w:sz w:val="24"/>
          <w:szCs w:val="24"/>
        </w:rPr>
        <w:t xml:space="preserve">(3), 313-331. </w:t>
      </w:r>
      <w:hyperlink r:id="rId64" w:history="1">
        <w:r w:rsidRPr="0098127B">
          <w:rPr>
            <w:rStyle w:val="Hyperlink"/>
            <w:rFonts w:asciiTheme="majorBidi" w:hAnsiTheme="majorBidi" w:cstheme="majorBidi"/>
            <w:sz w:val="24"/>
            <w:szCs w:val="24"/>
          </w:rPr>
          <w:t>https://doi.org/10.1007/s10993-016-9409-z</w:t>
        </w:r>
      </w:hyperlink>
      <w:r w:rsidRPr="0098127B">
        <w:rPr>
          <w:rFonts w:asciiTheme="majorBidi" w:hAnsiTheme="majorBidi" w:cstheme="majorBidi"/>
          <w:sz w:val="24"/>
          <w:szCs w:val="24"/>
        </w:rPr>
        <w:t xml:space="preserve"> </w:t>
      </w:r>
    </w:p>
    <w:p w14:paraId="458A786D"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Prodanović, M. M., &amp; Gavranović, V. V. (2022). A Comparative Analysis of EFL Textbooks Used in the Third Grade Primary School. </w:t>
      </w:r>
      <w:r w:rsidRPr="0098127B">
        <w:rPr>
          <w:rFonts w:asciiTheme="majorBidi" w:hAnsiTheme="majorBidi" w:cstheme="majorBidi"/>
          <w:i/>
          <w:iCs/>
          <w:sz w:val="24"/>
          <w:szCs w:val="24"/>
        </w:rPr>
        <w:t>Društvene i humanističke studije</w:t>
      </w:r>
      <w:r w:rsidRPr="0098127B">
        <w:rPr>
          <w:rFonts w:asciiTheme="majorBidi" w:hAnsiTheme="majorBidi" w:cstheme="majorBidi"/>
          <w:sz w:val="24"/>
          <w:szCs w:val="24"/>
        </w:rPr>
        <w:t>, </w:t>
      </w:r>
      <w:r w:rsidRPr="0098127B">
        <w:rPr>
          <w:rFonts w:asciiTheme="majorBidi" w:hAnsiTheme="majorBidi" w:cstheme="majorBidi"/>
          <w:i/>
          <w:iCs/>
          <w:sz w:val="24"/>
          <w:szCs w:val="24"/>
        </w:rPr>
        <w:t>7</w:t>
      </w:r>
      <w:r w:rsidRPr="0098127B">
        <w:rPr>
          <w:rFonts w:asciiTheme="majorBidi" w:hAnsiTheme="majorBidi" w:cstheme="majorBidi"/>
          <w:sz w:val="24"/>
          <w:szCs w:val="24"/>
        </w:rPr>
        <w:t xml:space="preserve">(18), 183-200. </w:t>
      </w:r>
      <w:hyperlink r:id="rId65" w:history="1">
        <w:r w:rsidRPr="0098127B">
          <w:rPr>
            <w:rStyle w:val="Hyperlink"/>
            <w:rFonts w:asciiTheme="majorBidi" w:hAnsiTheme="majorBidi" w:cstheme="majorBidi"/>
            <w:sz w:val="24"/>
            <w:szCs w:val="24"/>
          </w:rPr>
          <w:t>https://www.ceeol.com/search/article-detail?id=1024379</w:t>
        </w:r>
      </w:hyperlink>
    </w:p>
    <w:p w14:paraId="6C3AD37F" w14:textId="77777777" w:rsidR="003C5F20" w:rsidRPr="0098127B" w:rsidRDefault="003C5F20" w:rsidP="006168EA">
      <w:pPr>
        <w:spacing w:line="480" w:lineRule="auto"/>
        <w:ind w:left="720" w:hanging="720"/>
        <w:rPr>
          <w:rFonts w:asciiTheme="majorBidi" w:hAnsiTheme="majorBidi" w:cstheme="majorBidi"/>
          <w:sz w:val="24"/>
          <w:szCs w:val="24"/>
        </w:rPr>
      </w:pPr>
      <w:bookmarkStart w:id="53" w:name="_Hlk206429299"/>
      <w:r w:rsidRPr="0098127B">
        <w:rPr>
          <w:rFonts w:asciiTheme="majorBidi" w:hAnsiTheme="majorBidi" w:cstheme="majorBidi"/>
          <w:sz w:val="24"/>
          <w:szCs w:val="24"/>
        </w:rPr>
        <w:t>Qadir</w:t>
      </w:r>
      <w:bookmarkEnd w:id="53"/>
      <w:r w:rsidRPr="0098127B">
        <w:rPr>
          <w:rFonts w:asciiTheme="majorBidi" w:hAnsiTheme="majorBidi" w:cstheme="majorBidi"/>
          <w:sz w:val="24"/>
          <w:szCs w:val="24"/>
        </w:rPr>
        <w:t>, K. J., Salah, K. M., &amp; Badawi, S. S. (2023). The Role of English Language in Hotel Marketing in Sulaymaniyah, Kurdistan Region of Iraq: A Case Study. </w:t>
      </w:r>
      <w:r w:rsidRPr="0098127B">
        <w:rPr>
          <w:rFonts w:asciiTheme="majorBidi" w:hAnsiTheme="majorBidi" w:cstheme="majorBidi"/>
          <w:i/>
          <w:iCs/>
          <w:sz w:val="24"/>
          <w:szCs w:val="24"/>
        </w:rPr>
        <w:t>Koya University Journal of Humanities and Social Sciences</w:t>
      </w:r>
      <w:r w:rsidRPr="0098127B">
        <w:rPr>
          <w:rFonts w:asciiTheme="majorBidi" w:hAnsiTheme="majorBidi" w:cstheme="majorBidi"/>
          <w:sz w:val="24"/>
          <w:szCs w:val="24"/>
        </w:rPr>
        <w:t>, </w:t>
      </w:r>
      <w:r w:rsidRPr="0098127B">
        <w:rPr>
          <w:rFonts w:asciiTheme="majorBidi" w:hAnsiTheme="majorBidi" w:cstheme="majorBidi"/>
          <w:i/>
          <w:iCs/>
          <w:sz w:val="24"/>
          <w:szCs w:val="24"/>
        </w:rPr>
        <w:t>6</w:t>
      </w:r>
      <w:r w:rsidRPr="0098127B">
        <w:rPr>
          <w:rFonts w:asciiTheme="majorBidi" w:hAnsiTheme="majorBidi" w:cstheme="majorBidi"/>
          <w:sz w:val="24"/>
          <w:szCs w:val="24"/>
        </w:rPr>
        <w:t xml:space="preserve">(1), 310-318. </w:t>
      </w:r>
      <w:hyperlink r:id="rId66" w:history="1">
        <w:r w:rsidRPr="0098127B">
          <w:rPr>
            <w:rStyle w:val="Hyperlink"/>
            <w:rFonts w:asciiTheme="majorBidi" w:hAnsiTheme="majorBidi" w:cstheme="majorBidi"/>
            <w:sz w:val="24"/>
            <w:szCs w:val="24"/>
          </w:rPr>
          <w:t>https://doi.org/10.14500/kujhss.v6n1y2023.pp310-318</w:t>
        </w:r>
      </w:hyperlink>
      <w:r w:rsidRPr="0098127B">
        <w:rPr>
          <w:rFonts w:asciiTheme="majorBidi" w:hAnsiTheme="majorBidi" w:cstheme="majorBidi"/>
          <w:sz w:val="24"/>
          <w:szCs w:val="24"/>
        </w:rPr>
        <w:t xml:space="preserve"> </w:t>
      </w:r>
    </w:p>
    <w:p w14:paraId="27D0B08A"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Qays, S. (2022). An investigation of culture specific items in English textbooks taught at Iraqi State-run high schools and private institutes. </w:t>
      </w:r>
      <w:r w:rsidRPr="0098127B">
        <w:rPr>
          <w:rFonts w:asciiTheme="majorBidi" w:hAnsiTheme="majorBidi" w:cstheme="majorBidi"/>
          <w:i/>
          <w:iCs/>
          <w:sz w:val="24"/>
          <w:szCs w:val="24"/>
        </w:rPr>
        <w:t>Journal of Contemporary Language Research</w:t>
      </w:r>
      <w:r w:rsidRPr="0098127B">
        <w:rPr>
          <w:rFonts w:asciiTheme="majorBidi" w:hAnsiTheme="majorBidi" w:cstheme="majorBidi"/>
          <w:sz w:val="24"/>
          <w:szCs w:val="24"/>
        </w:rPr>
        <w:t>, </w:t>
      </w:r>
      <w:r w:rsidRPr="0098127B">
        <w:rPr>
          <w:rFonts w:asciiTheme="majorBidi" w:hAnsiTheme="majorBidi" w:cstheme="majorBidi"/>
          <w:i/>
          <w:iCs/>
          <w:sz w:val="24"/>
          <w:szCs w:val="24"/>
        </w:rPr>
        <w:t>1</w:t>
      </w:r>
      <w:r w:rsidRPr="0098127B">
        <w:rPr>
          <w:rFonts w:asciiTheme="majorBidi" w:hAnsiTheme="majorBidi" w:cstheme="majorBidi"/>
          <w:sz w:val="24"/>
          <w:szCs w:val="24"/>
        </w:rPr>
        <w:t xml:space="preserve">(2), 79-86. </w:t>
      </w:r>
      <w:hyperlink r:id="rId67" w:history="1">
        <w:r w:rsidRPr="0098127B">
          <w:rPr>
            <w:rStyle w:val="Hyperlink"/>
            <w:rFonts w:asciiTheme="majorBidi" w:hAnsiTheme="majorBidi" w:cstheme="majorBidi"/>
            <w:sz w:val="24"/>
            <w:szCs w:val="24"/>
          </w:rPr>
          <w:t>https://doi.org/10.58803/jclr.v1i2.11</w:t>
        </w:r>
      </w:hyperlink>
      <w:r w:rsidRPr="0098127B">
        <w:rPr>
          <w:rFonts w:asciiTheme="majorBidi" w:hAnsiTheme="majorBidi" w:cstheme="majorBidi"/>
          <w:sz w:val="24"/>
          <w:szCs w:val="24"/>
        </w:rPr>
        <w:t xml:space="preserve"> </w:t>
      </w:r>
    </w:p>
    <w:p w14:paraId="0C116C49" w14:textId="77777777" w:rsidR="003C5F20" w:rsidRPr="0098127B" w:rsidRDefault="003C5F20" w:rsidP="00FB3B77">
      <w:pPr>
        <w:spacing w:line="480" w:lineRule="auto"/>
        <w:ind w:left="720" w:hanging="720"/>
        <w:rPr>
          <w:rFonts w:asciiTheme="majorBidi" w:hAnsiTheme="majorBidi" w:cstheme="majorBidi"/>
          <w:sz w:val="24"/>
          <w:szCs w:val="24"/>
        </w:rPr>
      </w:pPr>
      <w:bookmarkStart w:id="54" w:name="_Hlk206432806"/>
      <w:r w:rsidRPr="0098127B">
        <w:rPr>
          <w:rFonts w:asciiTheme="majorBidi" w:hAnsiTheme="majorBidi" w:cstheme="majorBidi"/>
          <w:sz w:val="24"/>
          <w:szCs w:val="24"/>
        </w:rPr>
        <w:t>Razavipour, K., &amp; Rezagah</w:t>
      </w:r>
      <w:bookmarkEnd w:id="54"/>
      <w:r w:rsidRPr="0098127B">
        <w:rPr>
          <w:rFonts w:asciiTheme="majorBidi" w:hAnsiTheme="majorBidi" w:cstheme="majorBidi"/>
          <w:sz w:val="24"/>
          <w:szCs w:val="24"/>
        </w:rPr>
        <w:t>, K. (2018). Language assessment in the new English curriculum in Iran: Managerial, institutional, and professional barriers. </w:t>
      </w:r>
      <w:r w:rsidRPr="0098127B">
        <w:rPr>
          <w:rFonts w:asciiTheme="majorBidi" w:hAnsiTheme="majorBidi" w:cstheme="majorBidi"/>
          <w:i/>
          <w:iCs/>
          <w:sz w:val="24"/>
          <w:szCs w:val="24"/>
        </w:rPr>
        <w:t>Language Testing in Asia</w:t>
      </w:r>
      <w:r w:rsidRPr="0098127B">
        <w:rPr>
          <w:rFonts w:asciiTheme="majorBidi" w:hAnsiTheme="majorBidi" w:cstheme="majorBidi"/>
          <w:sz w:val="24"/>
          <w:szCs w:val="24"/>
        </w:rPr>
        <w:t>, </w:t>
      </w:r>
      <w:r w:rsidRPr="0098127B">
        <w:rPr>
          <w:rFonts w:asciiTheme="majorBidi" w:hAnsiTheme="majorBidi" w:cstheme="majorBidi"/>
          <w:i/>
          <w:iCs/>
          <w:sz w:val="24"/>
          <w:szCs w:val="24"/>
        </w:rPr>
        <w:t>8</w:t>
      </w:r>
      <w:r w:rsidRPr="0098127B">
        <w:rPr>
          <w:rFonts w:asciiTheme="majorBidi" w:hAnsiTheme="majorBidi" w:cstheme="majorBidi"/>
          <w:sz w:val="24"/>
          <w:szCs w:val="24"/>
        </w:rPr>
        <w:t xml:space="preserve">(1), 9-23. </w:t>
      </w:r>
      <w:hyperlink r:id="rId68" w:history="1">
        <w:r w:rsidRPr="0098127B">
          <w:rPr>
            <w:rStyle w:val="Hyperlink"/>
            <w:rFonts w:asciiTheme="majorBidi" w:hAnsiTheme="majorBidi" w:cstheme="majorBidi"/>
            <w:sz w:val="24"/>
            <w:szCs w:val="24"/>
          </w:rPr>
          <w:t>https://doi.org/10.1186/s40468-018-0061-8</w:t>
        </w:r>
      </w:hyperlink>
      <w:r w:rsidRPr="0098127B">
        <w:rPr>
          <w:rFonts w:asciiTheme="majorBidi" w:hAnsiTheme="majorBidi" w:cstheme="majorBidi"/>
          <w:sz w:val="24"/>
          <w:szCs w:val="24"/>
        </w:rPr>
        <w:t xml:space="preserve"> </w:t>
      </w:r>
    </w:p>
    <w:p w14:paraId="1373F14F" w14:textId="77777777" w:rsidR="003C5F20" w:rsidRPr="0098127B" w:rsidRDefault="003C5F20" w:rsidP="006168EA">
      <w:pPr>
        <w:spacing w:line="480" w:lineRule="auto"/>
        <w:ind w:left="720" w:hanging="720"/>
        <w:rPr>
          <w:rFonts w:asciiTheme="majorBidi" w:hAnsiTheme="majorBidi" w:cstheme="majorBidi"/>
          <w:sz w:val="24"/>
          <w:szCs w:val="24"/>
        </w:rPr>
      </w:pPr>
      <w:bookmarkStart w:id="55" w:name="_Hlk206525107"/>
      <w:r w:rsidRPr="0098127B">
        <w:rPr>
          <w:rFonts w:asciiTheme="majorBidi" w:hAnsiTheme="majorBidi" w:cstheme="majorBidi"/>
          <w:sz w:val="24"/>
          <w:szCs w:val="24"/>
        </w:rPr>
        <w:t>Remillard, J. T., &amp; Kim</w:t>
      </w:r>
      <w:bookmarkEnd w:id="55"/>
      <w:r w:rsidRPr="0098127B">
        <w:rPr>
          <w:rFonts w:asciiTheme="majorBidi" w:hAnsiTheme="majorBidi" w:cstheme="majorBidi"/>
          <w:sz w:val="24"/>
          <w:szCs w:val="24"/>
        </w:rPr>
        <w:t>, O. K. (2020). Complexity of curriculum materials as designed artifacts: Implications and future directions. In </w:t>
      </w:r>
      <w:r w:rsidRPr="0098127B">
        <w:rPr>
          <w:rFonts w:asciiTheme="majorBidi" w:hAnsiTheme="majorBidi" w:cstheme="majorBidi"/>
          <w:i/>
          <w:iCs/>
          <w:sz w:val="24"/>
          <w:szCs w:val="24"/>
        </w:rPr>
        <w:t>Elementary Mathematics Curriculum Materials: Designs for Student Learning and Teacher Enactment</w:t>
      </w:r>
      <w:r w:rsidRPr="0098127B">
        <w:rPr>
          <w:rFonts w:asciiTheme="majorBidi" w:hAnsiTheme="majorBidi" w:cstheme="majorBidi"/>
          <w:sz w:val="24"/>
          <w:szCs w:val="24"/>
        </w:rPr>
        <w:t> (pp. 259-285). Springer International Publishing.</w:t>
      </w:r>
    </w:p>
    <w:p w14:paraId="61FD0D6F"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lastRenderedPageBreak/>
        <w:t>Riazi, A. M., &amp; Mosalanejad, N. (2010). Evaluation of Learning Objectives in Iranian High-School and Pre-University English Textbooks Using Bloom's Taxonomy. </w:t>
      </w:r>
      <w:r w:rsidRPr="0098127B">
        <w:rPr>
          <w:rFonts w:asciiTheme="majorBidi" w:hAnsiTheme="majorBidi" w:cstheme="majorBidi"/>
          <w:i/>
          <w:iCs/>
          <w:sz w:val="24"/>
          <w:szCs w:val="24"/>
        </w:rPr>
        <w:t>Tesl-Ej</w:t>
      </w:r>
      <w:r w:rsidRPr="0098127B">
        <w:rPr>
          <w:rFonts w:asciiTheme="majorBidi" w:hAnsiTheme="majorBidi" w:cstheme="majorBidi"/>
          <w:sz w:val="24"/>
          <w:szCs w:val="24"/>
        </w:rPr>
        <w:t>, </w:t>
      </w:r>
      <w:r w:rsidRPr="0098127B">
        <w:rPr>
          <w:rFonts w:asciiTheme="majorBidi" w:hAnsiTheme="majorBidi" w:cstheme="majorBidi"/>
          <w:i/>
          <w:iCs/>
          <w:sz w:val="24"/>
          <w:szCs w:val="24"/>
        </w:rPr>
        <w:t>13</w:t>
      </w:r>
      <w:r w:rsidRPr="0098127B">
        <w:rPr>
          <w:rFonts w:asciiTheme="majorBidi" w:hAnsiTheme="majorBidi" w:cstheme="majorBidi"/>
          <w:sz w:val="24"/>
          <w:szCs w:val="24"/>
        </w:rPr>
        <w:t>(4), 1-16.</w:t>
      </w:r>
    </w:p>
    <w:p w14:paraId="43F93BD5"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Rose, H., &amp; McKinley, J. (2018). Japan’s English-medium instruction initiatives and the globalization of higher education. </w:t>
      </w:r>
      <w:r w:rsidRPr="0098127B">
        <w:rPr>
          <w:rFonts w:asciiTheme="majorBidi" w:hAnsiTheme="majorBidi" w:cstheme="majorBidi"/>
          <w:i/>
          <w:iCs/>
          <w:sz w:val="24"/>
          <w:szCs w:val="24"/>
        </w:rPr>
        <w:t>Higher Education</w:t>
      </w:r>
      <w:r w:rsidRPr="0098127B">
        <w:rPr>
          <w:rFonts w:asciiTheme="majorBidi" w:hAnsiTheme="majorBidi" w:cstheme="majorBidi"/>
          <w:sz w:val="24"/>
          <w:szCs w:val="24"/>
        </w:rPr>
        <w:t>, </w:t>
      </w:r>
      <w:r w:rsidRPr="0098127B">
        <w:rPr>
          <w:rFonts w:asciiTheme="majorBidi" w:hAnsiTheme="majorBidi" w:cstheme="majorBidi"/>
          <w:i/>
          <w:iCs/>
          <w:sz w:val="24"/>
          <w:szCs w:val="24"/>
        </w:rPr>
        <w:t>75</w:t>
      </w:r>
      <w:r w:rsidRPr="0098127B">
        <w:rPr>
          <w:rFonts w:asciiTheme="majorBidi" w:hAnsiTheme="majorBidi" w:cstheme="majorBidi"/>
          <w:sz w:val="24"/>
          <w:szCs w:val="24"/>
        </w:rPr>
        <w:t xml:space="preserve">(1), 111-129.  </w:t>
      </w:r>
      <w:hyperlink r:id="rId69" w:history="1">
        <w:r w:rsidRPr="0098127B">
          <w:rPr>
            <w:rStyle w:val="Hyperlink"/>
            <w:rFonts w:asciiTheme="majorBidi" w:hAnsiTheme="majorBidi" w:cstheme="majorBidi"/>
            <w:sz w:val="24"/>
            <w:szCs w:val="24"/>
          </w:rPr>
          <w:t>https://doi.org/10.1007/s10734-017-0125-1</w:t>
        </w:r>
      </w:hyperlink>
      <w:r w:rsidRPr="0098127B">
        <w:rPr>
          <w:rFonts w:asciiTheme="majorBidi" w:hAnsiTheme="majorBidi" w:cstheme="majorBidi"/>
          <w:sz w:val="24"/>
          <w:szCs w:val="24"/>
        </w:rPr>
        <w:t xml:space="preserve"> </w:t>
      </w:r>
    </w:p>
    <w:p w14:paraId="4B79326B"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Roshid, M. M., &amp; Kankaanranta, A. (2025). English communication skills in international business: Industry expectations versus university preparation. </w:t>
      </w:r>
      <w:r w:rsidRPr="0098127B">
        <w:rPr>
          <w:rFonts w:asciiTheme="majorBidi" w:hAnsiTheme="majorBidi" w:cstheme="majorBidi"/>
          <w:i/>
          <w:iCs/>
          <w:sz w:val="24"/>
          <w:szCs w:val="24"/>
        </w:rPr>
        <w:t>Business and Professional Communication Quarterly</w:t>
      </w:r>
      <w:r w:rsidRPr="0098127B">
        <w:rPr>
          <w:rFonts w:asciiTheme="majorBidi" w:hAnsiTheme="majorBidi" w:cstheme="majorBidi"/>
          <w:sz w:val="24"/>
          <w:szCs w:val="24"/>
        </w:rPr>
        <w:t>, </w:t>
      </w:r>
      <w:r w:rsidRPr="0098127B">
        <w:rPr>
          <w:rFonts w:asciiTheme="majorBidi" w:hAnsiTheme="majorBidi" w:cstheme="majorBidi"/>
          <w:i/>
          <w:iCs/>
          <w:sz w:val="24"/>
          <w:szCs w:val="24"/>
        </w:rPr>
        <w:t>88</w:t>
      </w:r>
      <w:r w:rsidRPr="0098127B">
        <w:rPr>
          <w:rFonts w:asciiTheme="majorBidi" w:hAnsiTheme="majorBidi" w:cstheme="majorBidi"/>
          <w:sz w:val="24"/>
          <w:szCs w:val="24"/>
        </w:rPr>
        <w:t xml:space="preserve">(1), 100-125. </w:t>
      </w:r>
      <w:hyperlink r:id="rId70" w:history="1">
        <w:r w:rsidRPr="0098127B">
          <w:rPr>
            <w:rStyle w:val="Hyperlink"/>
            <w:rFonts w:asciiTheme="majorBidi" w:hAnsiTheme="majorBidi" w:cstheme="majorBidi"/>
            <w:sz w:val="24"/>
            <w:szCs w:val="24"/>
          </w:rPr>
          <w:t>https://doi.org/10.1177/23294906231184814</w:t>
        </w:r>
      </w:hyperlink>
      <w:r w:rsidRPr="0098127B">
        <w:rPr>
          <w:rFonts w:asciiTheme="majorBidi" w:hAnsiTheme="majorBidi" w:cstheme="majorBidi"/>
          <w:sz w:val="24"/>
          <w:szCs w:val="24"/>
        </w:rPr>
        <w:t xml:space="preserve"> </w:t>
      </w:r>
    </w:p>
    <w:p w14:paraId="4AB9F777" w14:textId="77777777" w:rsidR="003C5F20" w:rsidRPr="0098127B" w:rsidRDefault="003C5F20" w:rsidP="006168EA">
      <w:pPr>
        <w:spacing w:line="480" w:lineRule="auto"/>
        <w:ind w:left="720" w:hanging="720"/>
        <w:rPr>
          <w:rFonts w:asciiTheme="majorBidi" w:hAnsiTheme="majorBidi" w:cstheme="majorBidi"/>
          <w:sz w:val="24"/>
          <w:szCs w:val="24"/>
        </w:rPr>
      </w:pPr>
      <w:bookmarkStart w:id="56" w:name="_Hlk206523557"/>
      <w:r w:rsidRPr="0098127B">
        <w:rPr>
          <w:rFonts w:asciiTheme="majorBidi" w:hAnsiTheme="majorBidi" w:cstheme="majorBidi"/>
          <w:sz w:val="24"/>
          <w:szCs w:val="24"/>
        </w:rPr>
        <w:t>Sahraee Juybari, M., &amp; Bozorgian</w:t>
      </w:r>
      <w:bookmarkEnd w:id="56"/>
      <w:r w:rsidRPr="0098127B">
        <w:rPr>
          <w:rFonts w:asciiTheme="majorBidi" w:hAnsiTheme="majorBidi" w:cstheme="majorBidi"/>
          <w:sz w:val="24"/>
          <w:szCs w:val="24"/>
        </w:rPr>
        <w:t>, H. (2020). Cultural Linguistics and ELT curriculum: The case of ‘</w:t>
      </w:r>
      <w:r w:rsidRPr="0098127B">
        <w:rPr>
          <w:rFonts w:asciiTheme="majorBidi" w:hAnsiTheme="majorBidi" w:cstheme="majorBidi"/>
          <w:i/>
          <w:iCs/>
          <w:sz w:val="24"/>
          <w:szCs w:val="24"/>
        </w:rPr>
        <w:t>Prospect</w:t>
      </w:r>
      <w:r w:rsidRPr="0098127B">
        <w:rPr>
          <w:rFonts w:asciiTheme="majorBidi" w:hAnsiTheme="majorBidi" w:cstheme="majorBidi"/>
          <w:sz w:val="24"/>
          <w:szCs w:val="24"/>
        </w:rPr>
        <w:t>’ English textbooks in Iran. </w:t>
      </w:r>
      <w:r w:rsidRPr="0098127B">
        <w:rPr>
          <w:rFonts w:asciiTheme="majorBidi" w:hAnsiTheme="majorBidi" w:cstheme="majorBidi"/>
          <w:i/>
          <w:iCs/>
          <w:sz w:val="24"/>
          <w:szCs w:val="24"/>
        </w:rPr>
        <w:t>International Journal of Applied Linguistics</w:t>
      </w:r>
      <w:r w:rsidRPr="0098127B">
        <w:rPr>
          <w:rFonts w:asciiTheme="majorBidi" w:hAnsiTheme="majorBidi" w:cstheme="majorBidi"/>
          <w:sz w:val="24"/>
          <w:szCs w:val="24"/>
        </w:rPr>
        <w:t>, </w:t>
      </w:r>
      <w:r w:rsidRPr="0098127B">
        <w:rPr>
          <w:rFonts w:asciiTheme="majorBidi" w:hAnsiTheme="majorBidi" w:cstheme="majorBidi"/>
          <w:i/>
          <w:iCs/>
          <w:sz w:val="24"/>
          <w:szCs w:val="24"/>
        </w:rPr>
        <w:t>30</w:t>
      </w:r>
      <w:r w:rsidRPr="0098127B">
        <w:rPr>
          <w:rFonts w:asciiTheme="majorBidi" w:hAnsiTheme="majorBidi" w:cstheme="majorBidi"/>
          <w:sz w:val="24"/>
          <w:szCs w:val="24"/>
        </w:rPr>
        <w:t xml:space="preserve">(3), 479-496. </w:t>
      </w:r>
      <w:hyperlink r:id="rId71" w:history="1">
        <w:r w:rsidRPr="0098127B">
          <w:rPr>
            <w:rStyle w:val="Hyperlink"/>
            <w:rFonts w:asciiTheme="majorBidi" w:hAnsiTheme="majorBidi" w:cstheme="majorBidi"/>
            <w:sz w:val="24"/>
            <w:szCs w:val="24"/>
          </w:rPr>
          <w:t>https://doi.org/10.1111/ijal.12301</w:t>
        </w:r>
      </w:hyperlink>
      <w:r w:rsidRPr="0098127B">
        <w:rPr>
          <w:rFonts w:asciiTheme="majorBidi" w:hAnsiTheme="majorBidi" w:cstheme="majorBidi"/>
          <w:sz w:val="24"/>
          <w:szCs w:val="24"/>
        </w:rPr>
        <w:t xml:space="preserve"> </w:t>
      </w:r>
    </w:p>
    <w:p w14:paraId="5B577BD3" w14:textId="77777777" w:rsidR="003C5F20" w:rsidRPr="0098127B" w:rsidRDefault="003C5F20" w:rsidP="003C5F20">
      <w:pPr>
        <w:spacing w:line="480" w:lineRule="auto"/>
        <w:ind w:left="720" w:hanging="720"/>
        <w:rPr>
          <w:rFonts w:asciiTheme="majorBidi" w:hAnsiTheme="majorBidi" w:cstheme="majorBidi"/>
          <w:sz w:val="24"/>
          <w:szCs w:val="24"/>
        </w:rPr>
      </w:pPr>
      <w:bookmarkStart w:id="57" w:name="_Hlk198922864"/>
      <w:r w:rsidRPr="0098127B">
        <w:rPr>
          <w:rFonts w:asciiTheme="majorBidi" w:hAnsiTheme="majorBidi" w:cstheme="majorBidi"/>
          <w:sz w:val="24"/>
          <w:szCs w:val="24"/>
        </w:rPr>
        <w:t>Salomone, R. C. (2022). </w:t>
      </w:r>
      <w:r w:rsidRPr="0098127B">
        <w:rPr>
          <w:rFonts w:asciiTheme="majorBidi" w:hAnsiTheme="majorBidi" w:cstheme="majorBidi"/>
          <w:i/>
          <w:iCs/>
          <w:sz w:val="24"/>
          <w:szCs w:val="24"/>
        </w:rPr>
        <w:t>The rise of English: Global politics and the power of language</w:t>
      </w:r>
      <w:r w:rsidRPr="0098127B">
        <w:rPr>
          <w:rFonts w:asciiTheme="majorBidi" w:hAnsiTheme="majorBidi" w:cstheme="majorBidi"/>
          <w:sz w:val="24"/>
          <w:szCs w:val="24"/>
        </w:rPr>
        <w:t>. Oxford University Press.</w:t>
      </w:r>
    </w:p>
    <w:bookmarkEnd w:id="57"/>
    <w:p w14:paraId="2B642718"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Samir, A., &amp; Motallebzadeh, K. (2023). A Comparative Study on the Components of the Revised MA English Translation Curriculum in Asian Universities. </w:t>
      </w:r>
      <w:r w:rsidRPr="0098127B">
        <w:rPr>
          <w:rFonts w:asciiTheme="majorBidi" w:hAnsiTheme="majorBidi" w:cstheme="majorBidi"/>
          <w:i/>
          <w:iCs/>
          <w:sz w:val="24"/>
          <w:szCs w:val="24"/>
        </w:rPr>
        <w:t>SAGE Open</w:t>
      </w:r>
      <w:r w:rsidRPr="0098127B">
        <w:rPr>
          <w:rFonts w:asciiTheme="majorBidi" w:hAnsiTheme="majorBidi" w:cstheme="majorBidi"/>
          <w:sz w:val="24"/>
          <w:szCs w:val="24"/>
        </w:rPr>
        <w:t>, </w:t>
      </w:r>
      <w:r w:rsidRPr="0098127B">
        <w:rPr>
          <w:rFonts w:asciiTheme="majorBidi" w:hAnsiTheme="majorBidi" w:cstheme="majorBidi"/>
          <w:i/>
          <w:iCs/>
          <w:sz w:val="24"/>
          <w:szCs w:val="24"/>
        </w:rPr>
        <w:t>13</w:t>
      </w:r>
      <w:r w:rsidRPr="0098127B">
        <w:rPr>
          <w:rFonts w:asciiTheme="majorBidi" w:hAnsiTheme="majorBidi" w:cstheme="majorBidi"/>
          <w:sz w:val="24"/>
          <w:szCs w:val="24"/>
        </w:rPr>
        <w:t xml:space="preserve">(1), 21-45. </w:t>
      </w:r>
      <w:hyperlink r:id="rId72" w:history="1">
        <w:r w:rsidRPr="0098127B">
          <w:rPr>
            <w:rStyle w:val="Hyperlink"/>
            <w:rFonts w:asciiTheme="majorBidi" w:hAnsiTheme="majorBidi" w:cstheme="majorBidi"/>
            <w:sz w:val="24"/>
            <w:szCs w:val="24"/>
          </w:rPr>
          <w:t>https://doi.org/10.1177/21582440221148445</w:t>
        </w:r>
      </w:hyperlink>
      <w:r w:rsidRPr="0098127B">
        <w:rPr>
          <w:rFonts w:asciiTheme="majorBidi" w:hAnsiTheme="majorBidi" w:cstheme="majorBidi"/>
          <w:sz w:val="24"/>
          <w:szCs w:val="24"/>
        </w:rPr>
        <w:t xml:space="preserve"> </w:t>
      </w:r>
    </w:p>
    <w:p w14:paraId="3C3C9E02"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Schiro, M. S. (2012). </w:t>
      </w:r>
      <w:r w:rsidRPr="0098127B">
        <w:rPr>
          <w:rFonts w:asciiTheme="majorBidi" w:hAnsiTheme="majorBidi" w:cstheme="majorBidi"/>
          <w:i/>
          <w:iCs/>
          <w:sz w:val="24"/>
          <w:szCs w:val="24"/>
        </w:rPr>
        <w:t>Curriculum theory: Conflicting Visions and enduring concerns</w:t>
      </w:r>
      <w:r w:rsidRPr="0098127B">
        <w:rPr>
          <w:rFonts w:asciiTheme="majorBidi" w:hAnsiTheme="majorBidi" w:cstheme="majorBidi"/>
          <w:sz w:val="24"/>
          <w:szCs w:val="24"/>
        </w:rPr>
        <w:t>. Sage Publications.</w:t>
      </w:r>
    </w:p>
    <w:p w14:paraId="7C8687D7" w14:textId="77777777" w:rsidR="003C5F20" w:rsidRPr="0098127B" w:rsidRDefault="003C5F20" w:rsidP="006168EA">
      <w:pPr>
        <w:spacing w:line="480" w:lineRule="auto"/>
        <w:ind w:left="720" w:hanging="720"/>
        <w:rPr>
          <w:rFonts w:asciiTheme="majorBidi" w:hAnsiTheme="majorBidi" w:cstheme="majorBidi"/>
          <w:sz w:val="24"/>
          <w:szCs w:val="24"/>
        </w:rPr>
      </w:pPr>
      <w:bookmarkStart w:id="58" w:name="_Hlk206527083"/>
      <w:r w:rsidRPr="0098127B">
        <w:rPr>
          <w:rFonts w:asciiTheme="majorBidi" w:hAnsiTheme="majorBidi" w:cstheme="majorBidi"/>
          <w:sz w:val="24"/>
          <w:szCs w:val="24"/>
        </w:rPr>
        <w:t>Shah</w:t>
      </w:r>
      <w:bookmarkEnd w:id="58"/>
      <w:r w:rsidRPr="0098127B">
        <w:rPr>
          <w:rFonts w:asciiTheme="majorBidi" w:hAnsiTheme="majorBidi" w:cstheme="majorBidi"/>
          <w:sz w:val="24"/>
          <w:szCs w:val="24"/>
        </w:rPr>
        <w:t>, W. A. (2023). Nation, alterity and competing discourses: Rethinking textbooks as ideological apparatuses. </w:t>
      </w:r>
      <w:r w:rsidRPr="0098127B">
        <w:rPr>
          <w:rFonts w:asciiTheme="majorBidi" w:hAnsiTheme="majorBidi" w:cstheme="majorBidi"/>
          <w:i/>
          <w:iCs/>
          <w:sz w:val="24"/>
          <w:szCs w:val="24"/>
        </w:rPr>
        <w:t>Linguistics and Education</w:t>
      </w:r>
      <w:r w:rsidRPr="0098127B">
        <w:rPr>
          <w:rFonts w:asciiTheme="majorBidi" w:hAnsiTheme="majorBidi" w:cstheme="majorBidi"/>
          <w:sz w:val="24"/>
          <w:szCs w:val="24"/>
        </w:rPr>
        <w:t>, </w:t>
      </w:r>
      <w:r w:rsidRPr="0098127B">
        <w:rPr>
          <w:rFonts w:asciiTheme="majorBidi" w:hAnsiTheme="majorBidi" w:cstheme="majorBidi"/>
          <w:i/>
          <w:iCs/>
          <w:sz w:val="24"/>
          <w:szCs w:val="24"/>
        </w:rPr>
        <w:t>78</w:t>
      </w:r>
      <w:r w:rsidRPr="0098127B">
        <w:rPr>
          <w:rFonts w:asciiTheme="majorBidi" w:hAnsiTheme="majorBidi" w:cstheme="majorBidi"/>
          <w:sz w:val="24"/>
          <w:szCs w:val="24"/>
        </w:rPr>
        <w:t xml:space="preserve">, 101-250. </w:t>
      </w:r>
      <w:hyperlink r:id="rId73" w:history="1">
        <w:r w:rsidRPr="0098127B">
          <w:rPr>
            <w:rStyle w:val="Hyperlink"/>
            <w:rFonts w:asciiTheme="majorBidi" w:hAnsiTheme="majorBidi" w:cstheme="majorBidi"/>
            <w:sz w:val="24"/>
            <w:szCs w:val="24"/>
          </w:rPr>
          <w:t>https://doi.org/10.1016/j.linged.2023.101250</w:t>
        </w:r>
      </w:hyperlink>
      <w:r w:rsidRPr="0098127B">
        <w:rPr>
          <w:rFonts w:asciiTheme="majorBidi" w:hAnsiTheme="majorBidi" w:cstheme="majorBidi"/>
          <w:sz w:val="24"/>
          <w:szCs w:val="24"/>
        </w:rPr>
        <w:t xml:space="preserve"> </w:t>
      </w:r>
    </w:p>
    <w:p w14:paraId="5016507F" w14:textId="77777777" w:rsidR="003C5F20" w:rsidRPr="0098127B" w:rsidRDefault="003C5F20" w:rsidP="006168EA">
      <w:pPr>
        <w:spacing w:line="480" w:lineRule="auto"/>
        <w:ind w:left="720" w:hanging="720"/>
        <w:rPr>
          <w:rFonts w:asciiTheme="majorBidi" w:hAnsiTheme="majorBidi" w:cstheme="majorBidi"/>
          <w:sz w:val="24"/>
          <w:szCs w:val="24"/>
        </w:rPr>
      </w:pPr>
      <w:bookmarkStart w:id="59" w:name="_Hlk206506275"/>
      <w:r w:rsidRPr="0098127B">
        <w:rPr>
          <w:rFonts w:asciiTheme="majorBidi" w:hAnsiTheme="majorBidi" w:cstheme="majorBidi"/>
          <w:sz w:val="24"/>
          <w:szCs w:val="24"/>
        </w:rPr>
        <w:lastRenderedPageBreak/>
        <w:t>Sheldon, L. E. (1988). Evaluating ELT textbooks and materials. </w:t>
      </w:r>
      <w:r w:rsidRPr="0098127B">
        <w:rPr>
          <w:rFonts w:asciiTheme="majorBidi" w:hAnsiTheme="majorBidi" w:cstheme="majorBidi"/>
          <w:i/>
          <w:iCs/>
          <w:sz w:val="24"/>
          <w:szCs w:val="24"/>
        </w:rPr>
        <w:t>ELT Journal</w:t>
      </w:r>
      <w:r w:rsidRPr="0098127B">
        <w:rPr>
          <w:rFonts w:asciiTheme="majorBidi" w:hAnsiTheme="majorBidi" w:cstheme="majorBidi"/>
          <w:sz w:val="24"/>
          <w:szCs w:val="24"/>
        </w:rPr>
        <w:t>, </w:t>
      </w:r>
      <w:r w:rsidRPr="0098127B">
        <w:rPr>
          <w:rFonts w:asciiTheme="majorBidi" w:hAnsiTheme="majorBidi" w:cstheme="majorBidi"/>
          <w:i/>
          <w:iCs/>
          <w:sz w:val="24"/>
          <w:szCs w:val="24"/>
        </w:rPr>
        <w:t>42</w:t>
      </w:r>
      <w:r w:rsidRPr="0098127B">
        <w:rPr>
          <w:rFonts w:asciiTheme="majorBidi" w:hAnsiTheme="majorBidi" w:cstheme="majorBidi"/>
          <w:sz w:val="24"/>
          <w:szCs w:val="24"/>
        </w:rPr>
        <w:t xml:space="preserve">(4), 237-246. </w:t>
      </w:r>
      <w:hyperlink r:id="rId74" w:history="1">
        <w:r w:rsidRPr="0098127B">
          <w:rPr>
            <w:rStyle w:val="Hyperlink"/>
            <w:rFonts w:asciiTheme="majorBidi" w:hAnsiTheme="majorBidi" w:cstheme="majorBidi"/>
            <w:sz w:val="24"/>
            <w:szCs w:val="24"/>
          </w:rPr>
          <w:t>https://doi.org/10.1093/elt/42.4.237</w:t>
        </w:r>
      </w:hyperlink>
      <w:r w:rsidRPr="0098127B">
        <w:rPr>
          <w:rFonts w:asciiTheme="majorBidi" w:hAnsiTheme="majorBidi" w:cstheme="majorBidi"/>
          <w:sz w:val="24"/>
          <w:szCs w:val="24"/>
        </w:rPr>
        <w:t xml:space="preserve"> </w:t>
      </w:r>
    </w:p>
    <w:p w14:paraId="031AE8B0"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 xml:space="preserve">Soodmand </w:t>
      </w:r>
      <w:bookmarkEnd w:id="59"/>
      <w:r w:rsidRPr="0098127B">
        <w:rPr>
          <w:rFonts w:asciiTheme="majorBidi" w:hAnsiTheme="majorBidi" w:cstheme="majorBidi"/>
          <w:sz w:val="24"/>
          <w:szCs w:val="24"/>
        </w:rPr>
        <w:t xml:space="preserve">Afshar, H., Ranjbar, N., Yousefi, M., &amp; Afshar, N. (2018). A qualitative analysis of </w:t>
      </w:r>
      <w:r w:rsidRPr="0098127B">
        <w:rPr>
          <w:rFonts w:asciiTheme="majorBidi" w:hAnsiTheme="majorBidi" w:cstheme="majorBidi"/>
          <w:i/>
          <w:iCs/>
          <w:sz w:val="24"/>
          <w:szCs w:val="24"/>
        </w:rPr>
        <w:t>Prospect</w:t>
      </w:r>
      <w:r w:rsidRPr="0098127B">
        <w:rPr>
          <w:rFonts w:asciiTheme="majorBidi" w:hAnsiTheme="majorBidi" w:cstheme="majorBidi"/>
          <w:sz w:val="24"/>
          <w:szCs w:val="24"/>
        </w:rPr>
        <w:t xml:space="preserve"> series and </w:t>
      </w:r>
      <w:r w:rsidRPr="0098127B">
        <w:rPr>
          <w:rFonts w:asciiTheme="majorBidi" w:hAnsiTheme="majorBidi" w:cstheme="majorBidi"/>
          <w:i/>
          <w:iCs/>
          <w:sz w:val="24"/>
          <w:szCs w:val="24"/>
        </w:rPr>
        <w:t>Vision</w:t>
      </w:r>
      <w:r w:rsidRPr="0098127B">
        <w:rPr>
          <w:rFonts w:asciiTheme="majorBidi" w:hAnsiTheme="majorBidi" w:cstheme="majorBidi"/>
          <w:sz w:val="24"/>
          <w:szCs w:val="24"/>
        </w:rPr>
        <w:t xml:space="preserve"> 1 from intercultural and metacultural communicative competence perspectives. </w:t>
      </w:r>
      <w:r w:rsidRPr="0098127B">
        <w:rPr>
          <w:rFonts w:asciiTheme="majorBidi" w:hAnsiTheme="majorBidi" w:cstheme="majorBidi"/>
          <w:i/>
          <w:iCs/>
          <w:sz w:val="24"/>
          <w:szCs w:val="24"/>
        </w:rPr>
        <w:t>Educational Measurement and Evaluation Studies</w:t>
      </w:r>
      <w:r w:rsidRPr="0098127B">
        <w:rPr>
          <w:rFonts w:asciiTheme="majorBidi" w:hAnsiTheme="majorBidi" w:cstheme="majorBidi"/>
          <w:sz w:val="24"/>
          <w:szCs w:val="24"/>
        </w:rPr>
        <w:t>, </w:t>
      </w:r>
      <w:r w:rsidRPr="0098127B">
        <w:rPr>
          <w:rFonts w:asciiTheme="majorBidi" w:hAnsiTheme="majorBidi" w:cstheme="majorBidi"/>
          <w:i/>
          <w:iCs/>
          <w:sz w:val="24"/>
          <w:szCs w:val="24"/>
        </w:rPr>
        <w:t>8</w:t>
      </w:r>
      <w:r w:rsidRPr="0098127B">
        <w:rPr>
          <w:rFonts w:asciiTheme="majorBidi" w:hAnsiTheme="majorBidi" w:cstheme="majorBidi"/>
          <w:sz w:val="24"/>
          <w:szCs w:val="24"/>
        </w:rPr>
        <w:t>(21), 107-139.</w:t>
      </w:r>
    </w:p>
    <w:p w14:paraId="3A5D6587"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Soori, A., Kafipour, R., &amp; Soury, M. (2011). EFL textbook evaluation and graphic representation. </w:t>
      </w:r>
      <w:r w:rsidRPr="0098127B">
        <w:rPr>
          <w:rFonts w:asciiTheme="majorBidi" w:hAnsiTheme="majorBidi" w:cstheme="majorBidi"/>
          <w:i/>
          <w:iCs/>
          <w:sz w:val="24"/>
          <w:szCs w:val="24"/>
        </w:rPr>
        <w:t>European Journal of Social Sciences</w:t>
      </w:r>
      <w:r w:rsidRPr="0098127B">
        <w:rPr>
          <w:rFonts w:asciiTheme="majorBidi" w:hAnsiTheme="majorBidi" w:cstheme="majorBidi"/>
          <w:sz w:val="24"/>
          <w:szCs w:val="24"/>
        </w:rPr>
        <w:t>, </w:t>
      </w:r>
      <w:r w:rsidRPr="0098127B">
        <w:rPr>
          <w:rFonts w:asciiTheme="majorBidi" w:hAnsiTheme="majorBidi" w:cstheme="majorBidi"/>
          <w:i/>
          <w:iCs/>
          <w:sz w:val="24"/>
          <w:szCs w:val="24"/>
        </w:rPr>
        <w:t>26</w:t>
      </w:r>
      <w:r w:rsidRPr="0098127B">
        <w:rPr>
          <w:rFonts w:asciiTheme="majorBidi" w:hAnsiTheme="majorBidi" w:cstheme="majorBidi"/>
          <w:sz w:val="24"/>
          <w:szCs w:val="24"/>
        </w:rPr>
        <w:t>(3), 481-493.</w:t>
      </w:r>
    </w:p>
    <w:p w14:paraId="2C0CD1B9" w14:textId="77777777" w:rsidR="003C5F20" w:rsidRPr="0098127B" w:rsidRDefault="003C5F20" w:rsidP="006168EA">
      <w:pPr>
        <w:spacing w:line="480" w:lineRule="auto"/>
        <w:ind w:left="720" w:hanging="720"/>
        <w:rPr>
          <w:rFonts w:asciiTheme="majorBidi" w:hAnsiTheme="majorBidi" w:cstheme="majorBidi"/>
          <w:sz w:val="24"/>
          <w:szCs w:val="24"/>
        </w:rPr>
      </w:pPr>
      <w:bookmarkStart w:id="60" w:name="_Hlk206523476"/>
      <w:bookmarkStart w:id="61" w:name="_Hlk206425647"/>
      <w:r w:rsidRPr="0098127B">
        <w:rPr>
          <w:rFonts w:asciiTheme="majorBidi" w:hAnsiTheme="majorBidi" w:cstheme="majorBidi"/>
          <w:sz w:val="24"/>
          <w:szCs w:val="24"/>
        </w:rPr>
        <w:t>Tafazoli, D., &amp; Egan</w:t>
      </w:r>
      <w:bookmarkEnd w:id="60"/>
      <w:r w:rsidRPr="0098127B">
        <w:rPr>
          <w:rFonts w:asciiTheme="majorBidi" w:hAnsiTheme="majorBidi" w:cstheme="majorBidi"/>
          <w:sz w:val="24"/>
          <w:szCs w:val="24"/>
        </w:rPr>
        <w:t>, K. (2022). Antagonism between western and Islamic cultures in Iranian English textbooks. </w:t>
      </w:r>
      <w:r w:rsidRPr="0098127B">
        <w:rPr>
          <w:rFonts w:asciiTheme="majorBidi" w:hAnsiTheme="majorBidi" w:cstheme="majorBidi"/>
          <w:i/>
          <w:iCs/>
          <w:sz w:val="24"/>
          <w:szCs w:val="24"/>
        </w:rPr>
        <w:t>Porta Linguarum: revista internacional de didáctica de las lenguas extranjeras</w:t>
      </w:r>
      <w:r w:rsidRPr="0098127B">
        <w:rPr>
          <w:rFonts w:asciiTheme="majorBidi" w:hAnsiTheme="majorBidi" w:cstheme="majorBidi"/>
          <w:sz w:val="24"/>
          <w:szCs w:val="24"/>
        </w:rPr>
        <w:t>, (37), 63-88.</w:t>
      </w:r>
    </w:p>
    <w:p w14:paraId="02D68359"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Tannous</w:t>
      </w:r>
      <w:bookmarkEnd w:id="61"/>
      <w:r w:rsidRPr="0098127B">
        <w:rPr>
          <w:rFonts w:asciiTheme="majorBidi" w:hAnsiTheme="majorBidi" w:cstheme="majorBidi"/>
          <w:sz w:val="24"/>
          <w:szCs w:val="24"/>
        </w:rPr>
        <w:t>, J. (2020). </w:t>
      </w:r>
      <w:r w:rsidRPr="0098127B">
        <w:rPr>
          <w:rFonts w:asciiTheme="majorBidi" w:hAnsiTheme="majorBidi" w:cstheme="majorBidi"/>
          <w:i/>
          <w:iCs/>
          <w:sz w:val="24"/>
          <w:szCs w:val="24"/>
        </w:rPr>
        <w:t>The making of the medieval Middle East: religion, society, and simple believers</w:t>
      </w:r>
      <w:r w:rsidRPr="0098127B">
        <w:rPr>
          <w:rFonts w:asciiTheme="majorBidi" w:hAnsiTheme="majorBidi" w:cstheme="majorBidi"/>
          <w:sz w:val="24"/>
          <w:szCs w:val="24"/>
        </w:rPr>
        <w:t xml:space="preserve">. Princeton University Press. </w:t>
      </w:r>
    </w:p>
    <w:p w14:paraId="7A799856"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Thomann, E., Ege, J., &amp; Paustyan, E. (2022). Approaches to Qualitative Comparative Analysis and good practices: A systematic review. </w:t>
      </w:r>
      <w:r w:rsidRPr="0098127B">
        <w:rPr>
          <w:rFonts w:asciiTheme="majorBidi" w:hAnsiTheme="majorBidi" w:cstheme="majorBidi"/>
          <w:i/>
          <w:iCs/>
          <w:sz w:val="24"/>
          <w:szCs w:val="24"/>
        </w:rPr>
        <w:t>Swiss Political Science Review</w:t>
      </w:r>
      <w:r w:rsidRPr="0098127B">
        <w:rPr>
          <w:rFonts w:asciiTheme="majorBidi" w:hAnsiTheme="majorBidi" w:cstheme="majorBidi"/>
          <w:sz w:val="24"/>
          <w:szCs w:val="24"/>
        </w:rPr>
        <w:t>, </w:t>
      </w:r>
      <w:r w:rsidRPr="0098127B">
        <w:rPr>
          <w:rFonts w:asciiTheme="majorBidi" w:hAnsiTheme="majorBidi" w:cstheme="majorBidi"/>
          <w:i/>
          <w:iCs/>
          <w:sz w:val="24"/>
          <w:szCs w:val="24"/>
        </w:rPr>
        <w:t>28</w:t>
      </w:r>
      <w:r w:rsidRPr="0098127B">
        <w:rPr>
          <w:rFonts w:asciiTheme="majorBidi" w:hAnsiTheme="majorBidi" w:cstheme="majorBidi"/>
          <w:sz w:val="24"/>
          <w:szCs w:val="24"/>
        </w:rPr>
        <w:t xml:space="preserve">(3), 557-580. </w:t>
      </w:r>
      <w:hyperlink r:id="rId75" w:history="1">
        <w:r w:rsidRPr="0098127B">
          <w:rPr>
            <w:rStyle w:val="Hyperlink"/>
            <w:rFonts w:asciiTheme="majorBidi" w:hAnsiTheme="majorBidi" w:cstheme="majorBidi"/>
            <w:sz w:val="24"/>
            <w:szCs w:val="24"/>
          </w:rPr>
          <w:t>https://doi.org/10.1111/spsr.12503</w:t>
        </w:r>
      </w:hyperlink>
    </w:p>
    <w:p w14:paraId="2368FBC3" w14:textId="77777777" w:rsidR="003C5F20" w:rsidRPr="0098127B" w:rsidRDefault="003C5F20" w:rsidP="006168EA">
      <w:pPr>
        <w:spacing w:line="480" w:lineRule="auto"/>
        <w:ind w:left="720" w:hanging="720"/>
        <w:rPr>
          <w:rFonts w:asciiTheme="majorBidi" w:hAnsiTheme="majorBidi" w:cstheme="majorBidi"/>
          <w:sz w:val="24"/>
          <w:szCs w:val="24"/>
        </w:rPr>
      </w:pPr>
      <w:bookmarkStart w:id="62" w:name="_Hlk206427622"/>
      <w:r w:rsidRPr="0098127B">
        <w:rPr>
          <w:rFonts w:asciiTheme="majorBidi" w:hAnsiTheme="majorBidi" w:cstheme="majorBidi"/>
          <w:sz w:val="24"/>
          <w:szCs w:val="24"/>
        </w:rPr>
        <w:t>Torres</w:t>
      </w:r>
      <w:bookmarkEnd w:id="62"/>
      <w:r w:rsidRPr="0098127B">
        <w:rPr>
          <w:rFonts w:asciiTheme="majorBidi" w:hAnsiTheme="majorBidi" w:cstheme="majorBidi"/>
          <w:sz w:val="24"/>
          <w:szCs w:val="24"/>
        </w:rPr>
        <w:t>, C. A., Arnove, R. F., &amp; Misiaszek, L. I. (2022). </w:t>
      </w:r>
      <w:r w:rsidRPr="0098127B">
        <w:rPr>
          <w:rFonts w:asciiTheme="majorBidi" w:hAnsiTheme="majorBidi" w:cstheme="majorBidi"/>
          <w:i/>
          <w:iCs/>
          <w:sz w:val="24"/>
          <w:szCs w:val="24"/>
        </w:rPr>
        <w:t>Comparative education: The dialectic of the global and the local</w:t>
      </w:r>
      <w:r w:rsidRPr="0098127B">
        <w:rPr>
          <w:rFonts w:asciiTheme="majorBidi" w:hAnsiTheme="majorBidi" w:cstheme="majorBidi"/>
          <w:sz w:val="24"/>
          <w:szCs w:val="24"/>
        </w:rPr>
        <w:t>. Bloomsbury Publishing.</w:t>
      </w:r>
    </w:p>
    <w:p w14:paraId="0D8F2908" w14:textId="77777777" w:rsidR="003C5F20" w:rsidRPr="0098127B" w:rsidRDefault="003C5F20" w:rsidP="006168EA">
      <w:pPr>
        <w:spacing w:line="480" w:lineRule="auto"/>
        <w:ind w:left="720" w:hanging="720"/>
        <w:rPr>
          <w:rFonts w:asciiTheme="majorBidi" w:hAnsiTheme="majorBidi" w:cstheme="majorBidi"/>
          <w:sz w:val="24"/>
          <w:szCs w:val="24"/>
        </w:rPr>
      </w:pPr>
      <w:bookmarkStart w:id="63" w:name="_Hlk206527544"/>
      <w:r w:rsidRPr="0098127B">
        <w:rPr>
          <w:rFonts w:asciiTheme="majorBidi" w:hAnsiTheme="majorBidi" w:cstheme="majorBidi"/>
          <w:sz w:val="24"/>
          <w:szCs w:val="24"/>
        </w:rPr>
        <w:t>Ulum, Ö. G., &amp; Köksal</w:t>
      </w:r>
      <w:bookmarkEnd w:id="63"/>
      <w:r w:rsidRPr="0098127B">
        <w:rPr>
          <w:rFonts w:asciiTheme="majorBidi" w:hAnsiTheme="majorBidi" w:cstheme="majorBidi"/>
          <w:sz w:val="24"/>
          <w:szCs w:val="24"/>
        </w:rPr>
        <w:t>, D. (2019). Ideological and hegemonic practices in global and local EFL textbooks written for Turks and Persians. </w:t>
      </w:r>
      <w:r w:rsidRPr="0098127B">
        <w:rPr>
          <w:rFonts w:asciiTheme="majorBidi" w:hAnsiTheme="majorBidi" w:cstheme="majorBidi"/>
          <w:i/>
          <w:iCs/>
          <w:sz w:val="24"/>
          <w:szCs w:val="24"/>
        </w:rPr>
        <w:t>Acta Educationis Generalis</w:t>
      </w:r>
      <w:r w:rsidRPr="0098127B">
        <w:rPr>
          <w:rFonts w:asciiTheme="majorBidi" w:hAnsiTheme="majorBidi" w:cstheme="majorBidi"/>
          <w:sz w:val="24"/>
          <w:szCs w:val="24"/>
        </w:rPr>
        <w:t>, </w:t>
      </w:r>
      <w:r w:rsidRPr="0098127B">
        <w:rPr>
          <w:rFonts w:asciiTheme="majorBidi" w:hAnsiTheme="majorBidi" w:cstheme="majorBidi"/>
          <w:i/>
          <w:iCs/>
          <w:sz w:val="24"/>
          <w:szCs w:val="24"/>
        </w:rPr>
        <w:t>9</w:t>
      </w:r>
      <w:r w:rsidRPr="0098127B">
        <w:rPr>
          <w:rFonts w:asciiTheme="majorBidi" w:hAnsiTheme="majorBidi" w:cstheme="majorBidi"/>
          <w:sz w:val="24"/>
          <w:szCs w:val="24"/>
        </w:rPr>
        <w:t xml:space="preserve">(3), 66-88. </w:t>
      </w:r>
      <w:hyperlink r:id="rId76" w:history="1">
        <w:r w:rsidRPr="0098127B">
          <w:rPr>
            <w:rStyle w:val="Hyperlink"/>
            <w:rFonts w:asciiTheme="majorBidi" w:hAnsiTheme="majorBidi" w:cstheme="majorBidi"/>
            <w:sz w:val="24"/>
            <w:szCs w:val="24"/>
          </w:rPr>
          <w:t>https://doi.org/10.2478/atd-2019-0014</w:t>
        </w:r>
      </w:hyperlink>
      <w:r w:rsidRPr="0098127B">
        <w:rPr>
          <w:rFonts w:asciiTheme="majorBidi" w:hAnsiTheme="majorBidi" w:cstheme="majorBidi"/>
          <w:sz w:val="24"/>
          <w:szCs w:val="24"/>
        </w:rPr>
        <w:t xml:space="preserve"> </w:t>
      </w:r>
    </w:p>
    <w:p w14:paraId="4825CC6E"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Ulum, Ö. G., &amp; Köksal, D. (2020). </w:t>
      </w:r>
      <w:r w:rsidRPr="0098127B">
        <w:rPr>
          <w:rFonts w:asciiTheme="majorBidi" w:hAnsiTheme="majorBidi" w:cstheme="majorBidi"/>
          <w:i/>
          <w:iCs/>
          <w:sz w:val="24"/>
          <w:szCs w:val="24"/>
        </w:rPr>
        <w:t>Ideology and hegemony of English foreign language textbooks: Globally and locally written practices</w:t>
      </w:r>
      <w:r w:rsidRPr="0098127B">
        <w:rPr>
          <w:rFonts w:asciiTheme="majorBidi" w:hAnsiTheme="majorBidi" w:cstheme="majorBidi"/>
          <w:sz w:val="24"/>
          <w:szCs w:val="24"/>
        </w:rPr>
        <w:t xml:space="preserve">. Springer Nature. </w:t>
      </w:r>
    </w:p>
    <w:p w14:paraId="6D207E76"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lastRenderedPageBreak/>
        <w:t>Uzum, B., Yazan, B., Zahrawi, S., Bouamer, S., &amp; Malakaj, E. (2021). A comparative analysis of cultural representations in collegiate world language textbooks (Arabic, French, and German). </w:t>
      </w:r>
      <w:r w:rsidRPr="0098127B">
        <w:rPr>
          <w:rFonts w:asciiTheme="majorBidi" w:hAnsiTheme="majorBidi" w:cstheme="majorBidi"/>
          <w:i/>
          <w:iCs/>
          <w:sz w:val="24"/>
          <w:szCs w:val="24"/>
        </w:rPr>
        <w:t>Linguistics and Education</w:t>
      </w:r>
      <w:r w:rsidRPr="0098127B">
        <w:rPr>
          <w:rFonts w:asciiTheme="majorBidi" w:hAnsiTheme="majorBidi" w:cstheme="majorBidi"/>
          <w:sz w:val="24"/>
          <w:szCs w:val="24"/>
        </w:rPr>
        <w:t>, </w:t>
      </w:r>
      <w:r w:rsidRPr="0098127B">
        <w:rPr>
          <w:rFonts w:asciiTheme="majorBidi" w:hAnsiTheme="majorBidi" w:cstheme="majorBidi"/>
          <w:i/>
          <w:iCs/>
          <w:sz w:val="24"/>
          <w:szCs w:val="24"/>
        </w:rPr>
        <w:t>61</w:t>
      </w:r>
      <w:r w:rsidRPr="0098127B">
        <w:rPr>
          <w:rFonts w:asciiTheme="majorBidi" w:hAnsiTheme="majorBidi" w:cstheme="majorBidi"/>
          <w:sz w:val="24"/>
          <w:szCs w:val="24"/>
        </w:rPr>
        <w:t xml:space="preserve">, 91-100. </w:t>
      </w:r>
      <w:hyperlink r:id="rId77" w:history="1">
        <w:r w:rsidRPr="0098127B">
          <w:rPr>
            <w:rStyle w:val="Hyperlink"/>
            <w:rFonts w:asciiTheme="majorBidi" w:hAnsiTheme="majorBidi" w:cstheme="majorBidi"/>
            <w:sz w:val="24"/>
            <w:szCs w:val="24"/>
          </w:rPr>
          <w:t>https://doi.org/10.1016/j.linged.2020.100901</w:t>
        </w:r>
      </w:hyperlink>
      <w:r w:rsidRPr="0098127B">
        <w:rPr>
          <w:rFonts w:asciiTheme="majorBidi" w:hAnsiTheme="majorBidi" w:cstheme="majorBidi"/>
          <w:sz w:val="24"/>
          <w:szCs w:val="24"/>
        </w:rPr>
        <w:t xml:space="preserve"> </w:t>
      </w:r>
    </w:p>
    <w:p w14:paraId="12A0614B" w14:textId="77777777" w:rsidR="003C5F20" w:rsidRPr="0098127B" w:rsidRDefault="003C5F20" w:rsidP="006168EA">
      <w:pPr>
        <w:spacing w:line="480" w:lineRule="auto"/>
        <w:ind w:left="720" w:hanging="720"/>
        <w:rPr>
          <w:rFonts w:asciiTheme="majorBidi" w:hAnsiTheme="majorBidi" w:cstheme="majorBidi"/>
          <w:sz w:val="24"/>
          <w:szCs w:val="24"/>
        </w:rPr>
      </w:pPr>
      <w:bookmarkStart w:id="64" w:name="_Hlk206526998"/>
      <w:r w:rsidRPr="0098127B">
        <w:rPr>
          <w:rFonts w:asciiTheme="majorBidi" w:hAnsiTheme="majorBidi" w:cstheme="majorBidi"/>
          <w:sz w:val="24"/>
          <w:szCs w:val="24"/>
        </w:rPr>
        <w:t>Wain</w:t>
      </w:r>
      <w:bookmarkEnd w:id="64"/>
      <w:r w:rsidRPr="0098127B">
        <w:rPr>
          <w:rFonts w:asciiTheme="majorBidi" w:hAnsiTheme="majorBidi" w:cstheme="majorBidi"/>
          <w:sz w:val="24"/>
          <w:szCs w:val="24"/>
        </w:rPr>
        <w:t>, K. (2022). Different perspectives on evaluating textbooks. In </w:t>
      </w:r>
      <w:r w:rsidRPr="0098127B">
        <w:rPr>
          <w:rFonts w:asciiTheme="majorBidi" w:hAnsiTheme="majorBidi" w:cstheme="majorBidi"/>
          <w:i/>
          <w:iCs/>
          <w:sz w:val="24"/>
          <w:szCs w:val="24"/>
        </w:rPr>
        <w:t>History and Social Studies</w:t>
      </w:r>
      <w:r w:rsidRPr="0098127B">
        <w:rPr>
          <w:rFonts w:asciiTheme="majorBidi" w:hAnsiTheme="majorBidi" w:cstheme="majorBidi"/>
          <w:sz w:val="24"/>
          <w:szCs w:val="24"/>
        </w:rPr>
        <w:t xml:space="preserve"> (pp. 35-41). Routledge. </w:t>
      </w:r>
    </w:p>
    <w:p w14:paraId="2DC1276E"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Weninger, C., &amp; Lim, M. H. (2025). Textbooks, Ideology, and Censorship. In </w:t>
      </w:r>
      <w:r w:rsidRPr="0098127B">
        <w:rPr>
          <w:rFonts w:asciiTheme="majorBidi" w:hAnsiTheme="majorBidi" w:cstheme="majorBidi"/>
          <w:i/>
          <w:iCs/>
          <w:sz w:val="24"/>
          <w:szCs w:val="24"/>
        </w:rPr>
        <w:t>Oxford Research Encyclopedia of Education</w:t>
      </w:r>
      <w:r w:rsidRPr="0098127B">
        <w:rPr>
          <w:rFonts w:asciiTheme="majorBidi" w:hAnsiTheme="majorBidi" w:cstheme="majorBidi"/>
          <w:sz w:val="24"/>
          <w:szCs w:val="24"/>
        </w:rPr>
        <w:t>.</w:t>
      </w:r>
    </w:p>
    <w:p w14:paraId="66126EBE" w14:textId="77777777" w:rsidR="003C5F20" w:rsidRPr="0098127B" w:rsidRDefault="003C5F20" w:rsidP="006168EA">
      <w:pPr>
        <w:spacing w:line="480" w:lineRule="auto"/>
        <w:ind w:left="720" w:hanging="720"/>
        <w:rPr>
          <w:rFonts w:asciiTheme="majorBidi" w:hAnsiTheme="majorBidi" w:cstheme="majorBidi"/>
          <w:sz w:val="24"/>
          <w:szCs w:val="24"/>
        </w:rPr>
      </w:pPr>
      <w:bookmarkStart w:id="65" w:name="_Hlk206507813"/>
      <w:r w:rsidRPr="0098127B">
        <w:rPr>
          <w:rFonts w:asciiTheme="majorBidi" w:hAnsiTheme="majorBidi" w:cstheme="majorBidi"/>
          <w:sz w:val="24"/>
          <w:szCs w:val="24"/>
        </w:rPr>
        <w:t>Williams</w:t>
      </w:r>
      <w:bookmarkEnd w:id="65"/>
      <w:r w:rsidRPr="0098127B">
        <w:rPr>
          <w:rFonts w:asciiTheme="majorBidi" w:hAnsiTheme="majorBidi" w:cstheme="majorBidi"/>
          <w:sz w:val="24"/>
          <w:szCs w:val="24"/>
        </w:rPr>
        <w:t>, S. (2016). </w:t>
      </w:r>
      <w:r w:rsidRPr="0098127B">
        <w:rPr>
          <w:rFonts w:asciiTheme="majorBidi" w:hAnsiTheme="majorBidi" w:cstheme="majorBidi"/>
          <w:i/>
          <w:iCs/>
          <w:sz w:val="24"/>
          <w:szCs w:val="24"/>
        </w:rPr>
        <w:t>Iran-Culture Smart!: The Essential Guide to Customs &amp; Culture</w:t>
      </w:r>
      <w:r w:rsidRPr="0098127B">
        <w:rPr>
          <w:rFonts w:asciiTheme="majorBidi" w:hAnsiTheme="majorBidi" w:cstheme="majorBidi"/>
          <w:sz w:val="24"/>
          <w:szCs w:val="24"/>
        </w:rPr>
        <w:t>. Bravo Limited.</w:t>
      </w:r>
    </w:p>
    <w:p w14:paraId="6C2F494F" w14:textId="77777777" w:rsidR="003C5F20" w:rsidRPr="0098127B" w:rsidRDefault="003C5F20" w:rsidP="006168EA">
      <w:pPr>
        <w:spacing w:line="480" w:lineRule="auto"/>
        <w:ind w:left="720" w:hanging="720"/>
        <w:rPr>
          <w:rFonts w:asciiTheme="majorBidi" w:hAnsiTheme="majorBidi" w:cstheme="majorBidi"/>
          <w:sz w:val="24"/>
          <w:szCs w:val="24"/>
        </w:rPr>
      </w:pPr>
      <w:bookmarkStart w:id="66" w:name="_Hlk206427697"/>
      <w:r w:rsidRPr="0098127B">
        <w:rPr>
          <w:rFonts w:asciiTheme="majorBidi" w:hAnsiTheme="majorBidi" w:cstheme="majorBidi"/>
          <w:sz w:val="24"/>
          <w:szCs w:val="24"/>
        </w:rPr>
        <w:t>Wilson</w:t>
      </w:r>
      <w:bookmarkEnd w:id="66"/>
      <w:r w:rsidRPr="0098127B">
        <w:rPr>
          <w:rFonts w:asciiTheme="majorBidi" w:hAnsiTheme="majorBidi" w:cstheme="majorBidi"/>
          <w:sz w:val="24"/>
          <w:szCs w:val="24"/>
        </w:rPr>
        <w:t>, R. (2021). </w:t>
      </w:r>
      <w:r w:rsidRPr="0098127B">
        <w:rPr>
          <w:rFonts w:asciiTheme="majorBidi" w:hAnsiTheme="majorBidi" w:cstheme="majorBidi"/>
          <w:i/>
          <w:iCs/>
          <w:sz w:val="24"/>
          <w:szCs w:val="24"/>
        </w:rPr>
        <w:t>Economic development in the Middle East</w:t>
      </w:r>
      <w:r w:rsidRPr="0098127B">
        <w:rPr>
          <w:rFonts w:asciiTheme="majorBidi" w:hAnsiTheme="majorBidi" w:cstheme="majorBidi"/>
          <w:sz w:val="24"/>
          <w:szCs w:val="24"/>
        </w:rPr>
        <w:t>. Routledge.</w:t>
      </w:r>
    </w:p>
    <w:p w14:paraId="6D1C572E" w14:textId="77777777" w:rsidR="003C5F20" w:rsidRPr="0098127B" w:rsidRDefault="003C5F20" w:rsidP="003C5F20">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Wotring, A., Chen, H., &amp; Fraser, M. (2021). Exploring Curriculum Alignment through Syllabus Document Analysis: From National Language Policy to Local ELT Practice. </w:t>
      </w:r>
      <w:r w:rsidRPr="0098127B">
        <w:rPr>
          <w:rFonts w:asciiTheme="majorBidi" w:hAnsiTheme="majorBidi" w:cstheme="majorBidi"/>
          <w:i/>
          <w:iCs/>
          <w:sz w:val="24"/>
          <w:szCs w:val="24"/>
        </w:rPr>
        <w:t>Iranian Journal of Language Teaching Research</w:t>
      </w:r>
      <w:r w:rsidRPr="0098127B">
        <w:rPr>
          <w:rFonts w:asciiTheme="majorBidi" w:hAnsiTheme="majorBidi" w:cstheme="majorBidi"/>
          <w:sz w:val="24"/>
          <w:szCs w:val="24"/>
        </w:rPr>
        <w:t>, </w:t>
      </w:r>
      <w:r w:rsidRPr="0098127B">
        <w:rPr>
          <w:rFonts w:asciiTheme="majorBidi" w:hAnsiTheme="majorBidi" w:cstheme="majorBidi"/>
          <w:i/>
          <w:iCs/>
          <w:sz w:val="24"/>
          <w:szCs w:val="24"/>
        </w:rPr>
        <w:t>9</w:t>
      </w:r>
      <w:r w:rsidRPr="0098127B">
        <w:rPr>
          <w:rFonts w:asciiTheme="majorBidi" w:hAnsiTheme="majorBidi" w:cstheme="majorBidi"/>
          <w:sz w:val="24"/>
          <w:szCs w:val="24"/>
        </w:rPr>
        <w:t xml:space="preserve">(2), 57-72. </w:t>
      </w:r>
      <w:hyperlink r:id="rId78" w:history="1">
        <w:r w:rsidRPr="0098127B">
          <w:rPr>
            <w:rStyle w:val="Hyperlink"/>
            <w:rFonts w:asciiTheme="majorBidi" w:hAnsiTheme="majorBidi" w:cstheme="majorBidi"/>
            <w:sz w:val="24"/>
            <w:szCs w:val="24"/>
          </w:rPr>
          <w:t>https://doi.org/10.30466/ijltr.2021.121045</w:t>
        </w:r>
      </w:hyperlink>
    </w:p>
    <w:p w14:paraId="61F73135" w14:textId="77777777" w:rsidR="003C5F20" w:rsidRPr="0098127B" w:rsidRDefault="003C5F20" w:rsidP="006168EA">
      <w:pPr>
        <w:spacing w:line="480" w:lineRule="auto"/>
        <w:ind w:left="720" w:hanging="720"/>
        <w:rPr>
          <w:rFonts w:asciiTheme="majorBidi" w:hAnsiTheme="majorBidi" w:cstheme="majorBidi"/>
          <w:sz w:val="24"/>
          <w:szCs w:val="24"/>
        </w:rPr>
      </w:pPr>
      <w:bookmarkStart w:id="67" w:name="_Hlk206429942"/>
      <w:r w:rsidRPr="0098127B">
        <w:rPr>
          <w:rFonts w:asciiTheme="majorBidi" w:hAnsiTheme="majorBidi" w:cstheme="majorBidi"/>
          <w:sz w:val="24"/>
          <w:szCs w:val="24"/>
        </w:rPr>
        <w:t>Yaseen</w:t>
      </w:r>
      <w:bookmarkEnd w:id="67"/>
      <w:r w:rsidRPr="0098127B">
        <w:rPr>
          <w:rFonts w:asciiTheme="majorBidi" w:hAnsiTheme="majorBidi" w:cstheme="majorBidi"/>
          <w:sz w:val="24"/>
          <w:szCs w:val="24"/>
        </w:rPr>
        <w:t xml:space="preserve">, A. T. (2020). Content Analysis of </w:t>
      </w:r>
      <w:r w:rsidRPr="0098127B">
        <w:rPr>
          <w:rFonts w:asciiTheme="majorBidi" w:hAnsiTheme="majorBidi" w:cstheme="majorBidi"/>
          <w:i/>
          <w:iCs/>
          <w:sz w:val="24"/>
          <w:szCs w:val="24"/>
        </w:rPr>
        <w:t>English for Iraq</w:t>
      </w:r>
      <w:r w:rsidRPr="0098127B">
        <w:rPr>
          <w:rFonts w:asciiTheme="majorBidi" w:hAnsiTheme="majorBidi" w:cstheme="majorBidi"/>
          <w:sz w:val="24"/>
          <w:szCs w:val="24"/>
        </w:rPr>
        <w:t xml:space="preserve"> 3</w:t>
      </w:r>
      <w:r w:rsidRPr="0098127B">
        <w:rPr>
          <w:rFonts w:asciiTheme="majorBidi" w:hAnsiTheme="majorBidi" w:cstheme="majorBidi"/>
          <w:sz w:val="24"/>
          <w:szCs w:val="24"/>
          <w:vertAlign w:val="superscript"/>
        </w:rPr>
        <w:t>rd</w:t>
      </w:r>
      <w:r w:rsidRPr="0098127B">
        <w:rPr>
          <w:rFonts w:asciiTheme="majorBidi" w:hAnsiTheme="majorBidi" w:cstheme="majorBidi"/>
          <w:sz w:val="24"/>
          <w:szCs w:val="24"/>
        </w:rPr>
        <w:t xml:space="preserve"> Intermediate Textbook Based on the Four Language Skills. </w:t>
      </w:r>
      <w:r w:rsidRPr="0098127B">
        <w:rPr>
          <w:rFonts w:asciiTheme="majorBidi" w:hAnsiTheme="majorBidi" w:cstheme="majorBidi"/>
          <w:i/>
          <w:iCs/>
          <w:sz w:val="24"/>
          <w:szCs w:val="24"/>
        </w:rPr>
        <w:t>Dirasat Tarbawiya</w:t>
      </w:r>
      <w:r w:rsidRPr="0098127B">
        <w:rPr>
          <w:rFonts w:asciiTheme="majorBidi" w:hAnsiTheme="majorBidi" w:cstheme="majorBidi"/>
          <w:sz w:val="24"/>
          <w:szCs w:val="24"/>
        </w:rPr>
        <w:t>, </w:t>
      </w:r>
      <w:r w:rsidRPr="0098127B">
        <w:rPr>
          <w:rFonts w:asciiTheme="majorBidi" w:hAnsiTheme="majorBidi" w:cstheme="majorBidi"/>
          <w:i/>
          <w:iCs/>
          <w:sz w:val="24"/>
          <w:szCs w:val="24"/>
        </w:rPr>
        <w:t>13</w:t>
      </w:r>
      <w:r w:rsidRPr="0098127B">
        <w:rPr>
          <w:rFonts w:asciiTheme="majorBidi" w:hAnsiTheme="majorBidi" w:cstheme="majorBidi"/>
          <w:sz w:val="24"/>
          <w:szCs w:val="24"/>
        </w:rPr>
        <w:t xml:space="preserve">(49), 1-17. </w:t>
      </w:r>
    </w:p>
    <w:p w14:paraId="6327A248" w14:textId="77777777" w:rsidR="003C5F20" w:rsidRPr="0098127B" w:rsidRDefault="003C5F20" w:rsidP="006168EA">
      <w:pPr>
        <w:spacing w:line="480" w:lineRule="auto"/>
        <w:ind w:left="720" w:hanging="720"/>
        <w:rPr>
          <w:rFonts w:asciiTheme="majorBidi" w:hAnsiTheme="majorBidi" w:cstheme="majorBidi"/>
          <w:sz w:val="24"/>
          <w:szCs w:val="24"/>
        </w:rPr>
      </w:pPr>
      <w:r w:rsidRPr="0098127B">
        <w:rPr>
          <w:rFonts w:asciiTheme="majorBidi" w:hAnsiTheme="majorBidi" w:cstheme="majorBidi"/>
          <w:sz w:val="24"/>
          <w:szCs w:val="24"/>
        </w:rPr>
        <w:t>Zand-Moghadam, A., Meihami, H., &amp; Ghiasvand, F. (2018). Exploring the English language needs of EAP students of humanities and social sciences in Iran: A triangulated approach. </w:t>
      </w:r>
      <w:r w:rsidRPr="0098127B">
        <w:rPr>
          <w:rFonts w:asciiTheme="majorBidi" w:hAnsiTheme="majorBidi" w:cstheme="majorBidi"/>
          <w:i/>
          <w:iCs/>
          <w:sz w:val="24"/>
          <w:szCs w:val="24"/>
        </w:rPr>
        <w:t>Issues in Language Teaching</w:t>
      </w:r>
      <w:r w:rsidRPr="0098127B">
        <w:rPr>
          <w:rFonts w:asciiTheme="majorBidi" w:hAnsiTheme="majorBidi" w:cstheme="majorBidi"/>
          <w:sz w:val="24"/>
          <w:szCs w:val="24"/>
        </w:rPr>
        <w:t>, </w:t>
      </w:r>
      <w:r w:rsidRPr="0098127B">
        <w:rPr>
          <w:rFonts w:asciiTheme="majorBidi" w:hAnsiTheme="majorBidi" w:cstheme="majorBidi"/>
          <w:i/>
          <w:iCs/>
          <w:sz w:val="24"/>
          <w:szCs w:val="24"/>
        </w:rPr>
        <w:t>7</w:t>
      </w:r>
      <w:r w:rsidRPr="0098127B">
        <w:rPr>
          <w:rFonts w:asciiTheme="majorBidi" w:hAnsiTheme="majorBidi" w:cstheme="majorBidi"/>
          <w:sz w:val="24"/>
          <w:szCs w:val="24"/>
        </w:rPr>
        <w:t xml:space="preserve">(1), 135-164. </w:t>
      </w:r>
    </w:p>
    <w:p w14:paraId="3AA35E52" w14:textId="0A2BC22A" w:rsidR="006E1D6D" w:rsidRPr="0098127B" w:rsidRDefault="006E1D6D" w:rsidP="0002629E"/>
    <w:p w14:paraId="4BC46C85" w14:textId="49840B0C" w:rsidR="008379AE" w:rsidRPr="0098127B" w:rsidRDefault="008379AE" w:rsidP="0002629E"/>
    <w:p w14:paraId="69A8B84E" w14:textId="08B3663A" w:rsidR="008379AE" w:rsidRPr="0098127B" w:rsidRDefault="008379AE" w:rsidP="0002629E"/>
    <w:p w14:paraId="65656309" w14:textId="7D95314C" w:rsidR="008379AE" w:rsidRPr="0098127B" w:rsidRDefault="008379AE" w:rsidP="0002629E"/>
    <w:p w14:paraId="5F91396D" w14:textId="6154FE83" w:rsidR="008379AE" w:rsidRPr="0098127B" w:rsidRDefault="008379AE" w:rsidP="0002629E"/>
    <w:p w14:paraId="14B4C15B" w14:textId="756A8AC2" w:rsidR="008379AE" w:rsidRPr="0098127B" w:rsidRDefault="008379AE" w:rsidP="0002629E"/>
    <w:p w14:paraId="135A385A" w14:textId="0730A28D" w:rsidR="008379AE" w:rsidRPr="0098127B" w:rsidRDefault="008379AE" w:rsidP="0002629E"/>
    <w:p w14:paraId="6FD8A422" w14:textId="651D8CEF" w:rsidR="008379AE" w:rsidRPr="0098127B" w:rsidRDefault="008379AE" w:rsidP="0002629E"/>
    <w:p w14:paraId="39B48BE9" w14:textId="550B78EC" w:rsidR="008379AE" w:rsidRPr="0098127B" w:rsidRDefault="008379AE" w:rsidP="0002629E"/>
    <w:p w14:paraId="342AC8FB" w14:textId="77777777" w:rsidR="008379AE" w:rsidRPr="0098127B" w:rsidRDefault="008379AE" w:rsidP="0002629E"/>
    <w:p w14:paraId="5E14BEB2" w14:textId="5CE49B1D" w:rsidR="008379AE" w:rsidRPr="0098127B" w:rsidRDefault="008379AE" w:rsidP="0002629E"/>
    <w:p w14:paraId="491F8951" w14:textId="59E3C3D6" w:rsidR="008379AE" w:rsidRPr="0098127B" w:rsidRDefault="008379AE" w:rsidP="0002629E"/>
    <w:p w14:paraId="11DCD9AA" w14:textId="6096F7F7" w:rsidR="008379AE" w:rsidRPr="0098127B" w:rsidRDefault="008379AE" w:rsidP="0002629E"/>
    <w:p w14:paraId="1AB3BB30" w14:textId="7C20EEF6" w:rsidR="008379AE" w:rsidRPr="0098127B" w:rsidRDefault="008379AE" w:rsidP="0002629E"/>
    <w:p w14:paraId="167C3AFF" w14:textId="36F00435" w:rsidR="008379AE" w:rsidRPr="0098127B" w:rsidRDefault="008379AE" w:rsidP="0002629E"/>
    <w:p w14:paraId="30DE283E" w14:textId="55BA94D5" w:rsidR="008379AE" w:rsidRPr="0098127B" w:rsidRDefault="008379AE" w:rsidP="0002629E"/>
    <w:p w14:paraId="1EABA93A" w14:textId="77777777" w:rsidR="008379AE" w:rsidRPr="0098127B" w:rsidRDefault="008379AE" w:rsidP="008379AE">
      <w:pPr>
        <w:spacing w:line="480" w:lineRule="auto"/>
        <w:jc w:val="center"/>
        <w:rPr>
          <w:rFonts w:asciiTheme="majorBidi" w:hAnsiTheme="majorBidi" w:cstheme="majorBidi"/>
          <w:b/>
          <w:bCs/>
          <w:sz w:val="24"/>
          <w:szCs w:val="24"/>
        </w:rPr>
      </w:pPr>
      <w:r w:rsidRPr="0098127B">
        <w:rPr>
          <w:rFonts w:asciiTheme="majorBidi" w:hAnsiTheme="majorBidi" w:cstheme="majorBidi"/>
          <w:b/>
          <w:bCs/>
          <w:sz w:val="28"/>
          <w:szCs w:val="28"/>
        </w:rPr>
        <w:t>Appendices</w:t>
      </w:r>
    </w:p>
    <w:p w14:paraId="3A87E1D3" w14:textId="77777777" w:rsidR="008379AE" w:rsidRPr="0098127B" w:rsidRDefault="008379AE" w:rsidP="008379AE">
      <w:pPr>
        <w:spacing w:line="480" w:lineRule="auto"/>
        <w:ind w:left="720" w:hanging="720"/>
        <w:rPr>
          <w:rFonts w:asciiTheme="majorBidi" w:hAnsiTheme="majorBidi" w:cstheme="majorBidi"/>
          <w:sz w:val="24"/>
          <w:szCs w:val="24"/>
        </w:rPr>
      </w:pPr>
    </w:p>
    <w:p w14:paraId="09EF27A2" w14:textId="77777777" w:rsidR="008379AE" w:rsidRPr="0098127B" w:rsidRDefault="008379AE" w:rsidP="008379AE">
      <w:pPr>
        <w:spacing w:line="480" w:lineRule="auto"/>
        <w:ind w:left="720" w:hanging="720"/>
        <w:rPr>
          <w:rFonts w:asciiTheme="majorBidi" w:hAnsiTheme="majorBidi" w:cstheme="majorBidi"/>
          <w:sz w:val="24"/>
          <w:szCs w:val="24"/>
        </w:rPr>
      </w:pPr>
    </w:p>
    <w:p w14:paraId="36D02C5F" w14:textId="77777777" w:rsidR="008379AE" w:rsidRPr="0098127B" w:rsidRDefault="008379AE" w:rsidP="008379AE">
      <w:pPr>
        <w:spacing w:line="480" w:lineRule="auto"/>
        <w:ind w:left="720" w:hanging="720"/>
        <w:rPr>
          <w:rFonts w:asciiTheme="majorBidi" w:hAnsiTheme="majorBidi" w:cstheme="majorBidi"/>
          <w:sz w:val="24"/>
          <w:szCs w:val="24"/>
        </w:rPr>
      </w:pPr>
    </w:p>
    <w:p w14:paraId="6B430D07" w14:textId="77777777" w:rsidR="008379AE" w:rsidRPr="0098127B" w:rsidRDefault="008379AE" w:rsidP="008379AE">
      <w:pPr>
        <w:spacing w:line="480" w:lineRule="auto"/>
        <w:ind w:left="720" w:hanging="720"/>
        <w:rPr>
          <w:rFonts w:asciiTheme="majorBidi" w:hAnsiTheme="majorBidi" w:cstheme="majorBidi"/>
          <w:sz w:val="24"/>
          <w:szCs w:val="24"/>
        </w:rPr>
      </w:pPr>
    </w:p>
    <w:p w14:paraId="0657C18E" w14:textId="77777777" w:rsidR="008379AE" w:rsidRPr="0098127B" w:rsidRDefault="008379AE" w:rsidP="008379AE">
      <w:pPr>
        <w:spacing w:line="480" w:lineRule="auto"/>
        <w:ind w:left="720" w:hanging="720"/>
        <w:rPr>
          <w:rFonts w:asciiTheme="majorBidi" w:hAnsiTheme="majorBidi" w:cstheme="majorBidi"/>
          <w:sz w:val="24"/>
          <w:szCs w:val="24"/>
        </w:rPr>
      </w:pPr>
    </w:p>
    <w:p w14:paraId="6FA90960" w14:textId="77777777" w:rsidR="008379AE" w:rsidRPr="0098127B" w:rsidRDefault="008379AE" w:rsidP="008379AE">
      <w:pPr>
        <w:spacing w:line="480" w:lineRule="auto"/>
        <w:ind w:left="720" w:hanging="720"/>
        <w:rPr>
          <w:rFonts w:asciiTheme="majorBidi" w:hAnsiTheme="majorBidi" w:cstheme="majorBidi"/>
          <w:sz w:val="24"/>
          <w:szCs w:val="24"/>
        </w:rPr>
      </w:pPr>
    </w:p>
    <w:p w14:paraId="42D988D5" w14:textId="77777777" w:rsidR="008379AE" w:rsidRPr="0098127B" w:rsidRDefault="008379AE" w:rsidP="008379AE">
      <w:pPr>
        <w:spacing w:line="480" w:lineRule="auto"/>
        <w:ind w:left="720" w:hanging="720"/>
        <w:rPr>
          <w:rFonts w:asciiTheme="majorBidi" w:hAnsiTheme="majorBidi" w:cstheme="majorBidi"/>
          <w:sz w:val="24"/>
          <w:szCs w:val="24"/>
        </w:rPr>
      </w:pPr>
    </w:p>
    <w:p w14:paraId="2E632F05" w14:textId="77777777" w:rsidR="008379AE" w:rsidRPr="0098127B" w:rsidRDefault="008379AE" w:rsidP="008379AE">
      <w:pPr>
        <w:spacing w:line="480" w:lineRule="auto"/>
        <w:ind w:left="720" w:hanging="720"/>
        <w:rPr>
          <w:rFonts w:asciiTheme="majorBidi" w:hAnsiTheme="majorBidi" w:cstheme="majorBidi"/>
          <w:sz w:val="24"/>
          <w:szCs w:val="24"/>
        </w:rPr>
      </w:pPr>
    </w:p>
    <w:p w14:paraId="2E0F8BEA" w14:textId="77777777" w:rsidR="008379AE" w:rsidRPr="0098127B" w:rsidRDefault="008379AE" w:rsidP="008379AE">
      <w:pPr>
        <w:spacing w:line="480" w:lineRule="auto"/>
        <w:ind w:left="720" w:hanging="720"/>
        <w:rPr>
          <w:rFonts w:asciiTheme="majorBidi" w:hAnsiTheme="majorBidi" w:cstheme="majorBidi"/>
          <w:sz w:val="24"/>
          <w:szCs w:val="24"/>
        </w:rPr>
      </w:pPr>
    </w:p>
    <w:p w14:paraId="25775338" w14:textId="77777777" w:rsidR="008379AE" w:rsidRPr="0098127B" w:rsidRDefault="008379AE" w:rsidP="008379AE">
      <w:pPr>
        <w:spacing w:line="480" w:lineRule="auto"/>
        <w:ind w:left="720" w:hanging="720"/>
        <w:rPr>
          <w:rFonts w:asciiTheme="majorBidi" w:hAnsiTheme="majorBidi" w:cstheme="majorBidi"/>
          <w:sz w:val="24"/>
          <w:szCs w:val="24"/>
        </w:rPr>
      </w:pPr>
    </w:p>
    <w:p w14:paraId="0891F247" w14:textId="77777777" w:rsidR="008379AE" w:rsidRPr="0098127B" w:rsidRDefault="008379AE" w:rsidP="008379AE">
      <w:pPr>
        <w:spacing w:line="480" w:lineRule="auto"/>
        <w:ind w:left="720" w:hanging="720"/>
        <w:rPr>
          <w:rFonts w:asciiTheme="majorBidi" w:hAnsiTheme="majorBidi" w:cstheme="majorBidi"/>
          <w:sz w:val="24"/>
          <w:szCs w:val="24"/>
        </w:rPr>
      </w:pPr>
    </w:p>
    <w:p w14:paraId="620837AD" w14:textId="77777777" w:rsidR="008379AE" w:rsidRPr="0098127B" w:rsidRDefault="008379AE" w:rsidP="008379AE">
      <w:pPr>
        <w:spacing w:line="480" w:lineRule="auto"/>
        <w:rPr>
          <w:rFonts w:asciiTheme="majorBidi" w:hAnsiTheme="majorBidi" w:cstheme="majorBidi"/>
          <w:b/>
          <w:bCs/>
          <w:i/>
          <w:iCs/>
          <w:sz w:val="24"/>
          <w:szCs w:val="24"/>
        </w:rPr>
      </w:pPr>
      <w:r w:rsidRPr="0098127B">
        <w:rPr>
          <w:rFonts w:asciiTheme="majorBidi" w:hAnsiTheme="majorBidi" w:cstheme="majorBidi"/>
          <w:b/>
          <w:bCs/>
          <w:sz w:val="24"/>
          <w:szCs w:val="24"/>
        </w:rPr>
        <w:lastRenderedPageBreak/>
        <w:t xml:space="preserve">Appendix A: Checklist </w:t>
      </w:r>
    </w:p>
    <w:p w14:paraId="704CD64A" w14:textId="77777777" w:rsidR="008379AE" w:rsidRPr="0098127B" w:rsidRDefault="008379AE" w:rsidP="008379AE">
      <w:pPr>
        <w:spacing w:line="480" w:lineRule="auto"/>
        <w:rPr>
          <w:noProof/>
        </w:rPr>
      </w:pPr>
      <w:r w:rsidRPr="0098127B">
        <w:rPr>
          <w:noProof/>
          <w:lang w:val="en-US"/>
        </w:rPr>
        <w:drawing>
          <wp:inline distT="0" distB="0" distL="0" distR="0" wp14:anchorId="75A7812E" wp14:editId="3613B2C7">
            <wp:extent cx="5943600" cy="5793740"/>
            <wp:effectExtent l="0" t="0" r="0" b="0"/>
            <wp:docPr id="159679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91623" name=""/>
                    <pic:cNvPicPr/>
                  </pic:nvPicPr>
                  <pic:blipFill>
                    <a:blip r:embed="rId79"/>
                    <a:stretch>
                      <a:fillRect/>
                    </a:stretch>
                  </pic:blipFill>
                  <pic:spPr>
                    <a:xfrm>
                      <a:off x="0" y="0"/>
                      <a:ext cx="5943600" cy="5793740"/>
                    </a:xfrm>
                    <a:prstGeom prst="rect">
                      <a:avLst/>
                    </a:prstGeom>
                  </pic:spPr>
                </pic:pic>
              </a:graphicData>
            </a:graphic>
          </wp:inline>
        </w:drawing>
      </w:r>
    </w:p>
    <w:p w14:paraId="4EC5CB0B" w14:textId="77777777" w:rsidR="008379AE" w:rsidRPr="0098127B" w:rsidRDefault="008379AE" w:rsidP="008379AE">
      <w:pPr>
        <w:rPr>
          <w:noProof/>
        </w:rPr>
      </w:pPr>
      <w:r w:rsidRPr="0098127B">
        <w:rPr>
          <w:noProof/>
          <w:lang w:val="en-US"/>
        </w:rPr>
        <w:lastRenderedPageBreak/>
        <w:drawing>
          <wp:inline distT="0" distB="0" distL="0" distR="0" wp14:anchorId="2CBE59E1" wp14:editId="1D8AE18F">
            <wp:extent cx="4713515" cy="7438156"/>
            <wp:effectExtent l="0" t="0" r="0" b="0"/>
            <wp:docPr id="320146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146419" name=""/>
                    <pic:cNvPicPr/>
                  </pic:nvPicPr>
                  <pic:blipFill>
                    <a:blip r:embed="rId80"/>
                    <a:stretch>
                      <a:fillRect/>
                    </a:stretch>
                  </pic:blipFill>
                  <pic:spPr>
                    <a:xfrm>
                      <a:off x="0" y="0"/>
                      <a:ext cx="4732111" cy="7467502"/>
                    </a:xfrm>
                    <a:prstGeom prst="rect">
                      <a:avLst/>
                    </a:prstGeom>
                  </pic:spPr>
                </pic:pic>
              </a:graphicData>
            </a:graphic>
          </wp:inline>
        </w:drawing>
      </w:r>
    </w:p>
    <w:p w14:paraId="150B5012" w14:textId="77777777" w:rsidR="008379AE" w:rsidRPr="0098127B" w:rsidRDefault="008379AE" w:rsidP="008379AE">
      <w:pPr>
        <w:rPr>
          <w:noProof/>
        </w:rPr>
      </w:pPr>
    </w:p>
    <w:p w14:paraId="6E0B8BAB" w14:textId="77777777" w:rsidR="008379AE" w:rsidRPr="0098127B" w:rsidRDefault="008379AE" w:rsidP="008379AE">
      <w:pPr>
        <w:tabs>
          <w:tab w:val="left" w:pos="5846"/>
        </w:tabs>
        <w:rPr>
          <w:rFonts w:asciiTheme="majorBidi" w:hAnsiTheme="majorBidi" w:cstheme="majorBidi"/>
          <w:sz w:val="24"/>
          <w:szCs w:val="24"/>
        </w:rPr>
      </w:pPr>
    </w:p>
    <w:p w14:paraId="4BFA03C0" w14:textId="77777777" w:rsidR="008379AE" w:rsidRPr="0098127B" w:rsidRDefault="008379AE" w:rsidP="008379AE">
      <w:pPr>
        <w:tabs>
          <w:tab w:val="left" w:pos="5846"/>
        </w:tabs>
        <w:rPr>
          <w:noProof/>
        </w:rPr>
      </w:pPr>
      <w:r w:rsidRPr="0098127B">
        <w:rPr>
          <w:noProof/>
          <w:lang w:val="en-US"/>
        </w:rPr>
        <w:lastRenderedPageBreak/>
        <w:drawing>
          <wp:inline distT="0" distB="0" distL="0" distR="0" wp14:anchorId="73FBF619" wp14:editId="241D2468">
            <wp:extent cx="4579302" cy="7228114"/>
            <wp:effectExtent l="0" t="0" r="0" b="0"/>
            <wp:docPr id="169257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73603" name=""/>
                    <pic:cNvPicPr/>
                  </pic:nvPicPr>
                  <pic:blipFill>
                    <a:blip r:embed="rId81"/>
                    <a:stretch>
                      <a:fillRect/>
                    </a:stretch>
                  </pic:blipFill>
                  <pic:spPr>
                    <a:xfrm>
                      <a:off x="0" y="0"/>
                      <a:ext cx="4586522" cy="7239510"/>
                    </a:xfrm>
                    <a:prstGeom prst="rect">
                      <a:avLst/>
                    </a:prstGeom>
                  </pic:spPr>
                </pic:pic>
              </a:graphicData>
            </a:graphic>
          </wp:inline>
        </w:drawing>
      </w:r>
    </w:p>
    <w:p w14:paraId="516EB47E" w14:textId="77777777" w:rsidR="008379AE" w:rsidRPr="0098127B" w:rsidRDefault="008379AE" w:rsidP="008379AE">
      <w:pPr>
        <w:tabs>
          <w:tab w:val="left" w:pos="2760"/>
        </w:tabs>
        <w:rPr>
          <w:rFonts w:asciiTheme="majorBidi" w:hAnsiTheme="majorBidi" w:cstheme="majorBidi"/>
          <w:sz w:val="24"/>
          <w:szCs w:val="24"/>
        </w:rPr>
      </w:pPr>
    </w:p>
    <w:p w14:paraId="1F0F1427" w14:textId="77777777" w:rsidR="008379AE" w:rsidRPr="0098127B" w:rsidRDefault="008379AE" w:rsidP="008379AE">
      <w:pPr>
        <w:tabs>
          <w:tab w:val="left" w:pos="2760"/>
        </w:tabs>
        <w:rPr>
          <w:rFonts w:asciiTheme="majorBidi" w:hAnsiTheme="majorBidi" w:cstheme="majorBidi"/>
          <w:sz w:val="24"/>
          <w:szCs w:val="24"/>
        </w:rPr>
      </w:pPr>
    </w:p>
    <w:p w14:paraId="2084CF7F" w14:textId="77777777" w:rsidR="008379AE" w:rsidRPr="0098127B" w:rsidRDefault="008379AE" w:rsidP="008379AE">
      <w:pPr>
        <w:tabs>
          <w:tab w:val="left" w:pos="2760"/>
        </w:tabs>
        <w:rPr>
          <w:rFonts w:asciiTheme="majorBidi" w:hAnsiTheme="majorBidi" w:cstheme="majorBidi"/>
          <w:sz w:val="24"/>
          <w:szCs w:val="24"/>
        </w:rPr>
      </w:pPr>
    </w:p>
    <w:p w14:paraId="2218FEE0" w14:textId="77777777" w:rsidR="008379AE" w:rsidRPr="0098127B" w:rsidRDefault="008379AE" w:rsidP="008379AE">
      <w:pPr>
        <w:tabs>
          <w:tab w:val="left" w:pos="2760"/>
        </w:tabs>
        <w:rPr>
          <w:noProof/>
        </w:rPr>
      </w:pPr>
      <w:r w:rsidRPr="0098127B">
        <w:rPr>
          <w:noProof/>
          <w:lang w:val="en-US"/>
        </w:rPr>
        <w:lastRenderedPageBreak/>
        <w:drawing>
          <wp:inline distT="0" distB="0" distL="0" distR="0" wp14:anchorId="0D0A5F0F" wp14:editId="61ED7B8B">
            <wp:extent cx="4379686" cy="6955971"/>
            <wp:effectExtent l="0" t="0" r="1905" b="0"/>
            <wp:docPr id="181412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128460" name=""/>
                    <pic:cNvPicPr/>
                  </pic:nvPicPr>
                  <pic:blipFill>
                    <a:blip r:embed="rId82"/>
                    <a:stretch>
                      <a:fillRect/>
                    </a:stretch>
                  </pic:blipFill>
                  <pic:spPr>
                    <a:xfrm>
                      <a:off x="0" y="0"/>
                      <a:ext cx="4389031" cy="6970812"/>
                    </a:xfrm>
                    <a:prstGeom prst="rect">
                      <a:avLst/>
                    </a:prstGeom>
                  </pic:spPr>
                </pic:pic>
              </a:graphicData>
            </a:graphic>
          </wp:inline>
        </w:drawing>
      </w:r>
    </w:p>
    <w:p w14:paraId="33F692A5" w14:textId="77777777" w:rsidR="008379AE" w:rsidRPr="0098127B" w:rsidRDefault="008379AE" w:rsidP="008379AE">
      <w:pPr>
        <w:tabs>
          <w:tab w:val="left" w:pos="3189"/>
        </w:tabs>
        <w:rPr>
          <w:rFonts w:asciiTheme="majorBidi" w:hAnsiTheme="majorBidi" w:cstheme="majorBidi"/>
          <w:sz w:val="24"/>
          <w:szCs w:val="24"/>
        </w:rPr>
      </w:pPr>
    </w:p>
    <w:p w14:paraId="1564916C" w14:textId="77777777" w:rsidR="008379AE" w:rsidRPr="0098127B" w:rsidRDefault="008379AE" w:rsidP="008379AE">
      <w:pPr>
        <w:tabs>
          <w:tab w:val="left" w:pos="3189"/>
        </w:tabs>
        <w:rPr>
          <w:rFonts w:asciiTheme="majorBidi" w:hAnsiTheme="majorBidi" w:cstheme="majorBidi"/>
          <w:sz w:val="24"/>
          <w:szCs w:val="24"/>
        </w:rPr>
      </w:pPr>
    </w:p>
    <w:p w14:paraId="4E2B88AB" w14:textId="77777777" w:rsidR="008379AE" w:rsidRPr="0098127B" w:rsidRDefault="008379AE" w:rsidP="008379AE">
      <w:pPr>
        <w:tabs>
          <w:tab w:val="left" w:pos="3189"/>
        </w:tabs>
        <w:rPr>
          <w:rFonts w:asciiTheme="majorBidi" w:hAnsiTheme="majorBidi" w:cstheme="majorBidi"/>
          <w:sz w:val="24"/>
          <w:szCs w:val="24"/>
        </w:rPr>
      </w:pPr>
    </w:p>
    <w:p w14:paraId="7726D6F1" w14:textId="77777777" w:rsidR="008379AE" w:rsidRPr="0098127B" w:rsidRDefault="008379AE" w:rsidP="008379AE">
      <w:pPr>
        <w:tabs>
          <w:tab w:val="left" w:pos="3189"/>
        </w:tabs>
        <w:rPr>
          <w:rFonts w:asciiTheme="majorBidi" w:hAnsiTheme="majorBidi" w:cstheme="majorBidi"/>
          <w:sz w:val="24"/>
          <w:szCs w:val="24"/>
        </w:rPr>
      </w:pPr>
    </w:p>
    <w:p w14:paraId="2810DF0D" w14:textId="77777777" w:rsidR="008379AE" w:rsidRPr="00B44C37" w:rsidRDefault="008379AE" w:rsidP="008379AE">
      <w:pPr>
        <w:tabs>
          <w:tab w:val="left" w:pos="3189"/>
        </w:tabs>
        <w:rPr>
          <w:rFonts w:asciiTheme="majorBidi" w:hAnsiTheme="majorBidi" w:cstheme="majorBidi"/>
          <w:sz w:val="24"/>
          <w:szCs w:val="24"/>
        </w:rPr>
      </w:pPr>
      <w:r w:rsidRPr="0098127B">
        <w:rPr>
          <w:noProof/>
          <w:lang w:val="en-US"/>
        </w:rPr>
        <w:lastRenderedPageBreak/>
        <w:drawing>
          <wp:inline distT="0" distB="0" distL="0" distR="0" wp14:anchorId="6EA96D11" wp14:editId="74CA22C1">
            <wp:extent cx="5437447" cy="2209800"/>
            <wp:effectExtent l="0" t="0" r="0" b="0"/>
            <wp:docPr id="1716973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73765" name=""/>
                    <pic:cNvPicPr/>
                  </pic:nvPicPr>
                  <pic:blipFill>
                    <a:blip r:embed="rId83"/>
                    <a:stretch>
                      <a:fillRect/>
                    </a:stretch>
                  </pic:blipFill>
                  <pic:spPr>
                    <a:xfrm>
                      <a:off x="0" y="0"/>
                      <a:ext cx="5446960" cy="2213666"/>
                    </a:xfrm>
                    <a:prstGeom prst="rect">
                      <a:avLst/>
                    </a:prstGeom>
                  </pic:spPr>
                </pic:pic>
              </a:graphicData>
            </a:graphic>
          </wp:inline>
        </w:drawing>
      </w:r>
    </w:p>
    <w:p w14:paraId="2A49C72C" w14:textId="77777777" w:rsidR="008379AE" w:rsidRPr="009F071D" w:rsidRDefault="008379AE" w:rsidP="008379AE">
      <w:pPr>
        <w:spacing w:line="360" w:lineRule="auto"/>
        <w:ind w:left="720" w:hanging="720"/>
        <w:rPr>
          <w:rFonts w:asciiTheme="majorBidi" w:hAnsiTheme="majorBidi" w:cstheme="majorBidi"/>
          <w:sz w:val="24"/>
          <w:szCs w:val="24"/>
        </w:rPr>
      </w:pPr>
    </w:p>
    <w:p w14:paraId="6B6AA777" w14:textId="77777777" w:rsidR="008379AE" w:rsidRDefault="008379AE" w:rsidP="008379AE"/>
    <w:p w14:paraId="71ECA610" w14:textId="77777777" w:rsidR="008379AE" w:rsidRDefault="008379AE" w:rsidP="0002629E"/>
    <w:sectPr w:rsidR="008379AE" w:rsidSect="003618BC">
      <w:pgSz w:w="11906" w:h="16838"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5CD7D" w14:textId="77777777" w:rsidR="00725402" w:rsidRDefault="00725402" w:rsidP="006F5BA4">
      <w:pPr>
        <w:spacing w:after="0" w:line="240" w:lineRule="auto"/>
      </w:pPr>
      <w:r>
        <w:separator/>
      </w:r>
    </w:p>
  </w:endnote>
  <w:endnote w:type="continuationSeparator" w:id="0">
    <w:p w14:paraId="089AE6DB" w14:textId="77777777" w:rsidR="00725402" w:rsidRDefault="00725402" w:rsidP="006F5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B3D39" w14:textId="77777777" w:rsidR="00725402" w:rsidRDefault="00725402" w:rsidP="006F5BA4">
      <w:pPr>
        <w:spacing w:after="0" w:line="240" w:lineRule="auto"/>
      </w:pPr>
      <w:r>
        <w:separator/>
      </w:r>
    </w:p>
  </w:footnote>
  <w:footnote w:type="continuationSeparator" w:id="0">
    <w:p w14:paraId="418E10EA" w14:textId="77777777" w:rsidR="00725402" w:rsidRDefault="00725402" w:rsidP="006F5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719701"/>
      <w:docPartObj>
        <w:docPartGallery w:val="Page Numbers (Top of Page)"/>
        <w:docPartUnique/>
      </w:docPartObj>
    </w:sdtPr>
    <w:sdtEndPr>
      <w:rPr>
        <w:rFonts w:asciiTheme="majorBidi" w:hAnsiTheme="majorBidi" w:cstheme="majorBidi"/>
        <w:noProof/>
        <w:sz w:val="24"/>
        <w:szCs w:val="24"/>
      </w:rPr>
    </w:sdtEndPr>
    <w:sdtContent>
      <w:p w14:paraId="655FE2FC" w14:textId="228BC93D" w:rsidR="00E3691F" w:rsidRPr="006F5BA4" w:rsidRDefault="00E3691F">
        <w:pPr>
          <w:pStyle w:val="Header"/>
          <w:jc w:val="right"/>
          <w:rPr>
            <w:rFonts w:asciiTheme="majorBidi" w:hAnsiTheme="majorBidi" w:cstheme="majorBidi"/>
            <w:sz w:val="24"/>
            <w:szCs w:val="24"/>
          </w:rPr>
        </w:pPr>
        <w:r w:rsidRPr="006F5BA4">
          <w:rPr>
            <w:rFonts w:asciiTheme="majorBidi" w:hAnsiTheme="majorBidi" w:cstheme="majorBidi"/>
            <w:sz w:val="24"/>
            <w:szCs w:val="24"/>
          </w:rPr>
          <w:fldChar w:fldCharType="begin"/>
        </w:r>
        <w:r w:rsidRPr="006F5BA4">
          <w:rPr>
            <w:rFonts w:asciiTheme="majorBidi" w:hAnsiTheme="majorBidi" w:cstheme="majorBidi"/>
            <w:sz w:val="24"/>
            <w:szCs w:val="24"/>
          </w:rPr>
          <w:instrText xml:space="preserve"> PAGE   \* MERGEFORMAT </w:instrText>
        </w:r>
        <w:r w:rsidRPr="006F5BA4">
          <w:rPr>
            <w:rFonts w:asciiTheme="majorBidi" w:hAnsiTheme="majorBidi" w:cstheme="majorBidi"/>
            <w:sz w:val="24"/>
            <w:szCs w:val="24"/>
          </w:rPr>
          <w:fldChar w:fldCharType="separate"/>
        </w:r>
        <w:r w:rsidR="008715B9">
          <w:rPr>
            <w:rFonts w:asciiTheme="majorBidi" w:hAnsiTheme="majorBidi" w:cstheme="majorBidi"/>
            <w:noProof/>
            <w:sz w:val="24"/>
            <w:szCs w:val="24"/>
          </w:rPr>
          <w:t>110</w:t>
        </w:r>
        <w:r w:rsidRPr="006F5BA4">
          <w:rPr>
            <w:rFonts w:asciiTheme="majorBidi" w:hAnsiTheme="majorBidi" w:cstheme="majorBidi"/>
            <w:noProof/>
            <w:sz w:val="24"/>
            <w:szCs w:val="24"/>
          </w:rPr>
          <w:fldChar w:fldCharType="end"/>
        </w:r>
      </w:p>
    </w:sdtContent>
  </w:sdt>
  <w:p w14:paraId="29C745F5" w14:textId="77777777" w:rsidR="00E3691F" w:rsidRDefault="00E369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21E9"/>
    <w:multiLevelType w:val="multilevel"/>
    <w:tmpl w:val="23E8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02472"/>
    <w:multiLevelType w:val="multilevel"/>
    <w:tmpl w:val="DA0C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A67B2"/>
    <w:multiLevelType w:val="multilevel"/>
    <w:tmpl w:val="DD6E5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2F5A3E"/>
    <w:multiLevelType w:val="multilevel"/>
    <w:tmpl w:val="97680EE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9073BC"/>
    <w:multiLevelType w:val="multilevel"/>
    <w:tmpl w:val="6E18EA36"/>
    <w:lvl w:ilvl="0">
      <w:start w:val="2"/>
      <w:numFmt w:val="decimal"/>
      <w:lvlText w:val="%1"/>
      <w:lvlJc w:val="left"/>
      <w:pPr>
        <w:ind w:left="360" w:hanging="360"/>
      </w:pPr>
      <w:rPr>
        <w:rFonts w:asciiTheme="majorBidi" w:eastAsiaTheme="minorHAnsi" w:hAnsiTheme="majorBidi" w:cstheme="majorBidi" w:hint="default"/>
        <w:sz w:val="24"/>
      </w:rPr>
    </w:lvl>
    <w:lvl w:ilvl="1">
      <w:start w:val="2"/>
      <w:numFmt w:val="decimal"/>
      <w:lvlText w:val="%1.%2"/>
      <w:lvlJc w:val="left"/>
      <w:pPr>
        <w:ind w:left="360" w:hanging="360"/>
      </w:pPr>
      <w:rPr>
        <w:rFonts w:asciiTheme="majorBidi" w:eastAsiaTheme="minorHAnsi" w:hAnsiTheme="majorBidi" w:cstheme="majorBidi" w:hint="default"/>
        <w:sz w:val="24"/>
      </w:rPr>
    </w:lvl>
    <w:lvl w:ilvl="2">
      <w:start w:val="1"/>
      <w:numFmt w:val="decimal"/>
      <w:lvlText w:val="%1.%2.%3"/>
      <w:lvlJc w:val="left"/>
      <w:pPr>
        <w:ind w:left="720" w:hanging="720"/>
      </w:pPr>
      <w:rPr>
        <w:rFonts w:asciiTheme="majorBidi" w:eastAsiaTheme="minorHAnsi" w:hAnsiTheme="majorBidi" w:cstheme="majorBidi" w:hint="default"/>
        <w:sz w:val="24"/>
      </w:rPr>
    </w:lvl>
    <w:lvl w:ilvl="3">
      <w:start w:val="1"/>
      <w:numFmt w:val="decimal"/>
      <w:lvlText w:val="%1.%2.%3.%4"/>
      <w:lvlJc w:val="left"/>
      <w:pPr>
        <w:ind w:left="720" w:hanging="720"/>
      </w:pPr>
      <w:rPr>
        <w:rFonts w:asciiTheme="majorBidi" w:eastAsiaTheme="minorHAnsi" w:hAnsiTheme="majorBidi" w:cstheme="majorBidi" w:hint="default"/>
        <w:sz w:val="24"/>
      </w:rPr>
    </w:lvl>
    <w:lvl w:ilvl="4">
      <w:start w:val="1"/>
      <w:numFmt w:val="decimal"/>
      <w:lvlText w:val="%1.%2.%3.%4.%5"/>
      <w:lvlJc w:val="left"/>
      <w:pPr>
        <w:ind w:left="1080" w:hanging="1080"/>
      </w:pPr>
      <w:rPr>
        <w:rFonts w:asciiTheme="majorBidi" w:eastAsiaTheme="minorHAnsi" w:hAnsiTheme="majorBidi" w:cstheme="majorBidi" w:hint="default"/>
        <w:sz w:val="24"/>
      </w:rPr>
    </w:lvl>
    <w:lvl w:ilvl="5">
      <w:start w:val="1"/>
      <w:numFmt w:val="decimal"/>
      <w:lvlText w:val="%1.%2.%3.%4.%5.%6"/>
      <w:lvlJc w:val="left"/>
      <w:pPr>
        <w:ind w:left="1080" w:hanging="1080"/>
      </w:pPr>
      <w:rPr>
        <w:rFonts w:asciiTheme="majorBidi" w:eastAsiaTheme="minorHAnsi" w:hAnsiTheme="majorBidi" w:cstheme="majorBidi" w:hint="default"/>
        <w:sz w:val="24"/>
      </w:rPr>
    </w:lvl>
    <w:lvl w:ilvl="6">
      <w:start w:val="1"/>
      <w:numFmt w:val="decimal"/>
      <w:lvlText w:val="%1.%2.%3.%4.%5.%6.%7"/>
      <w:lvlJc w:val="left"/>
      <w:pPr>
        <w:ind w:left="1440" w:hanging="1440"/>
      </w:pPr>
      <w:rPr>
        <w:rFonts w:asciiTheme="majorBidi" w:eastAsiaTheme="minorHAnsi" w:hAnsiTheme="majorBidi" w:cstheme="majorBidi" w:hint="default"/>
        <w:sz w:val="24"/>
      </w:rPr>
    </w:lvl>
    <w:lvl w:ilvl="7">
      <w:start w:val="1"/>
      <w:numFmt w:val="decimal"/>
      <w:lvlText w:val="%1.%2.%3.%4.%5.%6.%7.%8"/>
      <w:lvlJc w:val="left"/>
      <w:pPr>
        <w:ind w:left="1440" w:hanging="1440"/>
      </w:pPr>
      <w:rPr>
        <w:rFonts w:asciiTheme="majorBidi" w:eastAsiaTheme="minorHAnsi" w:hAnsiTheme="majorBidi" w:cstheme="majorBidi" w:hint="default"/>
        <w:sz w:val="24"/>
      </w:rPr>
    </w:lvl>
    <w:lvl w:ilvl="8">
      <w:start w:val="1"/>
      <w:numFmt w:val="decimal"/>
      <w:lvlText w:val="%1.%2.%3.%4.%5.%6.%7.%8.%9"/>
      <w:lvlJc w:val="left"/>
      <w:pPr>
        <w:ind w:left="1800" w:hanging="1800"/>
      </w:pPr>
      <w:rPr>
        <w:rFonts w:asciiTheme="majorBidi" w:eastAsiaTheme="minorHAnsi" w:hAnsiTheme="majorBidi" w:cstheme="majorBidi" w:hint="default"/>
        <w:sz w:val="24"/>
      </w:rPr>
    </w:lvl>
  </w:abstractNum>
  <w:abstractNum w:abstractNumId="5" w15:restartNumberingAfterBreak="0">
    <w:nsid w:val="5C171DCA"/>
    <w:multiLevelType w:val="multilevel"/>
    <w:tmpl w:val="1898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B5444D"/>
    <w:multiLevelType w:val="multilevel"/>
    <w:tmpl w:val="13EA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182662"/>
    <w:multiLevelType w:val="multilevel"/>
    <w:tmpl w:val="5172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0E1216"/>
    <w:multiLevelType w:val="hybridMultilevel"/>
    <w:tmpl w:val="331C29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85D6344"/>
    <w:multiLevelType w:val="multilevel"/>
    <w:tmpl w:val="E3222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A56FEF"/>
    <w:multiLevelType w:val="multilevel"/>
    <w:tmpl w:val="D81E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8098252">
    <w:abstractNumId w:val="8"/>
  </w:num>
  <w:num w:numId="2" w16cid:durableId="1317565228">
    <w:abstractNumId w:val="1"/>
  </w:num>
  <w:num w:numId="3" w16cid:durableId="352651125">
    <w:abstractNumId w:val="10"/>
  </w:num>
  <w:num w:numId="4" w16cid:durableId="1431008717">
    <w:abstractNumId w:val="0"/>
  </w:num>
  <w:num w:numId="5" w16cid:durableId="196087444">
    <w:abstractNumId w:val="6"/>
  </w:num>
  <w:num w:numId="6" w16cid:durableId="1384211625">
    <w:abstractNumId w:val="2"/>
  </w:num>
  <w:num w:numId="7" w16cid:durableId="1138255695">
    <w:abstractNumId w:val="9"/>
  </w:num>
  <w:num w:numId="8" w16cid:durableId="449979521">
    <w:abstractNumId w:val="5"/>
  </w:num>
  <w:num w:numId="9" w16cid:durableId="425619159">
    <w:abstractNumId w:val="7"/>
  </w:num>
  <w:num w:numId="10" w16cid:durableId="1530142717">
    <w:abstractNumId w:val="3"/>
  </w:num>
  <w:num w:numId="11" w16cid:durableId="1838421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49E"/>
    <w:rsid w:val="00007F1C"/>
    <w:rsid w:val="00013E3B"/>
    <w:rsid w:val="0002629E"/>
    <w:rsid w:val="00026DC4"/>
    <w:rsid w:val="00037180"/>
    <w:rsid w:val="00042B24"/>
    <w:rsid w:val="00062180"/>
    <w:rsid w:val="00063C15"/>
    <w:rsid w:val="000650D5"/>
    <w:rsid w:val="00066BD6"/>
    <w:rsid w:val="00081D27"/>
    <w:rsid w:val="000A4765"/>
    <w:rsid w:val="000E06C6"/>
    <w:rsid w:val="001164B0"/>
    <w:rsid w:val="001316F5"/>
    <w:rsid w:val="00131A33"/>
    <w:rsid w:val="0013503F"/>
    <w:rsid w:val="00150E3B"/>
    <w:rsid w:val="00151A47"/>
    <w:rsid w:val="001611E8"/>
    <w:rsid w:val="00161F4D"/>
    <w:rsid w:val="00173BF0"/>
    <w:rsid w:val="00181F45"/>
    <w:rsid w:val="00183B4D"/>
    <w:rsid w:val="00192442"/>
    <w:rsid w:val="001A5D6E"/>
    <w:rsid w:val="001B151D"/>
    <w:rsid w:val="001B608E"/>
    <w:rsid w:val="001C5120"/>
    <w:rsid w:val="001E5B04"/>
    <w:rsid w:val="00201E3D"/>
    <w:rsid w:val="00204F9C"/>
    <w:rsid w:val="00205CF4"/>
    <w:rsid w:val="002074E4"/>
    <w:rsid w:val="0021787F"/>
    <w:rsid w:val="00224954"/>
    <w:rsid w:val="00237B0E"/>
    <w:rsid w:val="00241FE0"/>
    <w:rsid w:val="00266634"/>
    <w:rsid w:val="00286C98"/>
    <w:rsid w:val="00287E8A"/>
    <w:rsid w:val="00294F38"/>
    <w:rsid w:val="002B3276"/>
    <w:rsid w:val="002C765D"/>
    <w:rsid w:val="002D4611"/>
    <w:rsid w:val="002D6FF8"/>
    <w:rsid w:val="002E7C35"/>
    <w:rsid w:val="002F0454"/>
    <w:rsid w:val="002F1D16"/>
    <w:rsid w:val="002F39E0"/>
    <w:rsid w:val="0030377A"/>
    <w:rsid w:val="00307AC2"/>
    <w:rsid w:val="00310025"/>
    <w:rsid w:val="0031003D"/>
    <w:rsid w:val="00310A27"/>
    <w:rsid w:val="003376DC"/>
    <w:rsid w:val="003618BC"/>
    <w:rsid w:val="00361B44"/>
    <w:rsid w:val="003651DA"/>
    <w:rsid w:val="003803C2"/>
    <w:rsid w:val="003819F5"/>
    <w:rsid w:val="00396526"/>
    <w:rsid w:val="003A08FB"/>
    <w:rsid w:val="003A11AC"/>
    <w:rsid w:val="003A4D42"/>
    <w:rsid w:val="003A52DD"/>
    <w:rsid w:val="003B2B64"/>
    <w:rsid w:val="003C1AE4"/>
    <w:rsid w:val="003C5F20"/>
    <w:rsid w:val="003D1603"/>
    <w:rsid w:val="003E33D4"/>
    <w:rsid w:val="003F37AA"/>
    <w:rsid w:val="003F60CB"/>
    <w:rsid w:val="004078D5"/>
    <w:rsid w:val="00412959"/>
    <w:rsid w:val="00436B2D"/>
    <w:rsid w:val="00441F91"/>
    <w:rsid w:val="0045640F"/>
    <w:rsid w:val="004767F9"/>
    <w:rsid w:val="004771A6"/>
    <w:rsid w:val="00477406"/>
    <w:rsid w:val="00482460"/>
    <w:rsid w:val="00487804"/>
    <w:rsid w:val="004A4595"/>
    <w:rsid w:val="004B153A"/>
    <w:rsid w:val="004B5160"/>
    <w:rsid w:val="004B5FFD"/>
    <w:rsid w:val="004C5BED"/>
    <w:rsid w:val="004D290E"/>
    <w:rsid w:val="004E3059"/>
    <w:rsid w:val="004E44E9"/>
    <w:rsid w:val="004E7437"/>
    <w:rsid w:val="004F3066"/>
    <w:rsid w:val="004F78C4"/>
    <w:rsid w:val="00533053"/>
    <w:rsid w:val="00535AF3"/>
    <w:rsid w:val="00542E06"/>
    <w:rsid w:val="005658B8"/>
    <w:rsid w:val="005829F1"/>
    <w:rsid w:val="00591E98"/>
    <w:rsid w:val="00593E51"/>
    <w:rsid w:val="005A159B"/>
    <w:rsid w:val="005B3A63"/>
    <w:rsid w:val="005C4DBD"/>
    <w:rsid w:val="005C5F9E"/>
    <w:rsid w:val="00613987"/>
    <w:rsid w:val="006145D3"/>
    <w:rsid w:val="006168EA"/>
    <w:rsid w:val="006172F6"/>
    <w:rsid w:val="00626D16"/>
    <w:rsid w:val="00636561"/>
    <w:rsid w:val="006436C1"/>
    <w:rsid w:val="00653F56"/>
    <w:rsid w:val="00654B8B"/>
    <w:rsid w:val="00654C3E"/>
    <w:rsid w:val="0065749E"/>
    <w:rsid w:val="006670ED"/>
    <w:rsid w:val="00680441"/>
    <w:rsid w:val="006805DF"/>
    <w:rsid w:val="0068376E"/>
    <w:rsid w:val="0068434C"/>
    <w:rsid w:val="006A0C2E"/>
    <w:rsid w:val="006A4994"/>
    <w:rsid w:val="006A4C61"/>
    <w:rsid w:val="006A73E7"/>
    <w:rsid w:val="006C2A24"/>
    <w:rsid w:val="006C70E3"/>
    <w:rsid w:val="006E0915"/>
    <w:rsid w:val="006E1D6D"/>
    <w:rsid w:val="006E3615"/>
    <w:rsid w:val="006E4298"/>
    <w:rsid w:val="006E66DC"/>
    <w:rsid w:val="006F1BD0"/>
    <w:rsid w:val="006F2C92"/>
    <w:rsid w:val="006F5BA4"/>
    <w:rsid w:val="00724E74"/>
    <w:rsid w:val="00725402"/>
    <w:rsid w:val="00733EA7"/>
    <w:rsid w:val="00733ED8"/>
    <w:rsid w:val="0074141E"/>
    <w:rsid w:val="00763177"/>
    <w:rsid w:val="00767374"/>
    <w:rsid w:val="007974D0"/>
    <w:rsid w:val="007A405D"/>
    <w:rsid w:val="007B02FB"/>
    <w:rsid w:val="007B42E6"/>
    <w:rsid w:val="007E4E23"/>
    <w:rsid w:val="007F3CDB"/>
    <w:rsid w:val="007F6F3B"/>
    <w:rsid w:val="00811B4D"/>
    <w:rsid w:val="008379AE"/>
    <w:rsid w:val="00846D7E"/>
    <w:rsid w:val="00854E4E"/>
    <w:rsid w:val="00860506"/>
    <w:rsid w:val="00864C43"/>
    <w:rsid w:val="00867B69"/>
    <w:rsid w:val="008715B9"/>
    <w:rsid w:val="0088635F"/>
    <w:rsid w:val="0089077A"/>
    <w:rsid w:val="008930DE"/>
    <w:rsid w:val="008961C4"/>
    <w:rsid w:val="008B220D"/>
    <w:rsid w:val="008B58B9"/>
    <w:rsid w:val="008B67D4"/>
    <w:rsid w:val="008B6FBE"/>
    <w:rsid w:val="008C6818"/>
    <w:rsid w:val="008C6D8B"/>
    <w:rsid w:val="008D5DFF"/>
    <w:rsid w:val="008F202F"/>
    <w:rsid w:val="009077E0"/>
    <w:rsid w:val="009178B3"/>
    <w:rsid w:val="00924A2F"/>
    <w:rsid w:val="0092699A"/>
    <w:rsid w:val="00935EE3"/>
    <w:rsid w:val="00937236"/>
    <w:rsid w:val="0094365D"/>
    <w:rsid w:val="0095700B"/>
    <w:rsid w:val="0098127B"/>
    <w:rsid w:val="00982276"/>
    <w:rsid w:val="0098629F"/>
    <w:rsid w:val="00990B98"/>
    <w:rsid w:val="009942B4"/>
    <w:rsid w:val="009A3A16"/>
    <w:rsid w:val="009B43AE"/>
    <w:rsid w:val="009C6433"/>
    <w:rsid w:val="009D0CEC"/>
    <w:rsid w:val="009D3C24"/>
    <w:rsid w:val="009E4A66"/>
    <w:rsid w:val="009F1CB5"/>
    <w:rsid w:val="009F5113"/>
    <w:rsid w:val="00A02E4E"/>
    <w:rsid w:val="00A039A4"/>
    <w:rsid w:val="00A1014F"/>
    <w:rsid w:val="00A109FD"/>
    <w:rsid w:val="00A30B13"/>
    <w:rsid w:val="00A41456"/>
    <w:rsid w:val="00A4195F"/>
    <w:rsid w:val="00A502E4"/>
    <w:rsid w:val="00A51C61"/>
    <w:rsid w:val="00A71640"/>
    <w:rsid w:val="00A77819"/>
    <w:rsid w:val="00A9139E"/>
    <w:rsid w:val="00AB166B"/>
    <w:rsid w:val="00AC7CDD"/>
    <w:rsid w:val="00AD0221"/>
    <w:rsid w:val="00AD30F3"/>
    <w:rsid w:val="00AD6F70"/>
    <w:rsid w:val="00AE798A"/>
    <w:rsid w:val="00AF03D1"/>
    <w:rsid w:val="00AF04FA"/>
    <w:rsid w:val="00AF17E6"/>
    <w:rsid w:val="00AF223B"/>
    <w:rsid w:val="00AF615C"/>
    <w:rsid w:val="00B17DF7"/>
    <w:rsid w:val="00B247C6"/>
    <w:rsid w:val="00B24D53"/>
    <w:rsid w:val="00B27C81"/>
    <w:rsid w:val="00B34B52"/>
    <w:rsid w:val="00B36536"/>
    <w:rsid w:val="00B4266B"/>
    <w:rsid w:val="00B44BB7"/>
    <w:rsid w:val="00B53511"/>
    <w:rsid w:val="00B5648B"/>
    <w:rsid w:val="00B6113C"/>
    <w:rsid w:val="00B77580"/>
    <w:rsid w:val="00B81B59"/>
    <w:rsid w:val="00B92484"/>
    <w:rsid w:val="00BA1005"/>
    <w:rsid w:val="00BC33C9"/>
    <w:rsid w:val="00BE4CAE"/>
    <w:rsid w:val="00C106F4"/>
    <w:rsid w:val="00C11B37"/>
    <w:rsid w:val="00C156FF"/>
    <w:rsid w:val="00C178F3"/>
    <w:rsid w:val="00C24732"/>
    <w:rsid w:val="00C33010"/>
    <w:rsid w:val="00C52986"/>
    <w:rsid w:val="00C8285F"/>
    <w:rsid w:val="00C859B0"/>
    <w:rsid w:val="00C93BA6"/>
    <w:rsid w:val="00C941D9"/>
    <w:rsid w:val="00D01BA6"/>
    <w:rsid w:val="00D314FD"/>
    <w:rsid w:val="00D433F0"/>
    <w:rsid w:val="00D500AD"/>
    <w:rsid w:val="00D61FDE"/>
    <w:rsid w:val="00D70179"/>
    <w:rsid w:val="00D85A1B"/>
    <w:rsid w:val="00D971BD"/>
    <w:rsid w:val="00D97326"/>
    <w:rsid w:val="00DA7511"/>
    <w:rsid w:val="00DB1DEA"/>
    <w:rsid w:val="00DB567D"/>
    <w:rsid w:val="00DC0580"/>
    <w:rsid w:val="00DC5C88"/>
    <w:rsid w:val="00DD1FFD"/>
    <w:rsid w:val="00DD2533"/>
    <w:rsid w:val="00DE3E42"/>
    <w:rsid w:val="00DF7D5E"/>
    <w:rsid w:val="00E11587"/>
    <w:rsid w:val="00E135D2"/>
    <w:rsid w:val="00E214D3"/>
    <w:rsid w:val="00E22969"/>
    <w:rsid w:val="00E2332F"/>
    <w:rsid w:val="00E33133"/>
    <w:rsid w:val="00E33D09"/>
    <w:rsid w:val="00E3691F"/>
    <w:rsid w:val="00E36DFA"/>
    <w:rsid w:val="00E667A4"/>
    <w:rsid w:val="00E720C5"/>
    <w:rsid w:val="00E72A74"/>
    <w:rsid w:val="00E73956"/>
    <w:rsid w:val="00E75B7F"/>
    <w:rsid w:val="00E807B4"/>
    <w:rsid w:val="00E84BF8"/>
    <w:rsid w:val="00E87B61"/>
    <w:rsid w:val="00E87FF5"/>
    <w:rsid w:val="00E90B1B"/>
    <w:rsid w:val="00E923D1"/>
    <w:rsid w:val="00E92EEA"/>
    <w:rsid w:val="00EA2B2D"/>
    <w:rsid w:val="00EA5ECF"/>
    <w:rsid w:val="00EB0805"/>
    <w:rsid w:val="00ED000A"/>
    <w:rsid w:val="00F039AC"/>
    <w:rsid w:val="00F04C2C"/>
    <w:rsid w:val="00F11039"/>
    <w:rsid w:val="00F12DAD"/>
    <w:rsid w:val="00F35E5E"/>
    <w:rsid w:val="00F517ED"/>
    <w:rsid w:val="00F60347"/>
    <w:rsid w:val="00F645F4"/>
    <w:rsid w:val="00F760D1"/>
    <w:rsid w:val="00F76ABD"/>
    <w:rsid w:val="00FB3B77"/>
    <w:rsid w:val="00FD44E2"/>
    <w:rsid w:val="00FE07C2"/>
    <w:rsid w:val="00FE3504"/>
    <w:rsid w:val="00FE3ABC"/>
    <w:rsid w:val="00FF56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93CAC"/>
  <w15:chartTrackingRefBased/>
  <w15:docId w15:val="{ECC978DC-4E91-4D57-B604-437A1E99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29E"/>
  </w:style>
  <w:style w:type="paragraph" w:styleId="Heading1">
    <w:name w:val="heading 1"/>
    <w:basedOn w:val="Normal"/>
    <w:next w:val="Normal"/>
    <w:link w:val="Heading1Char"/>
    <w:uiPriority w:val="9"/>
    <w:qFormat/>
    <w:rsid w:val="006574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74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74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74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74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7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4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74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74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74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74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7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49E"/>
    <w:rPr>
      <w:rFonts w:eastAsiaTheme="majorEastAsia" w:cstheme="majorBidi"/>
      <w:color w:val="272727" w:themeColor="text1" w:themeTint="D8"/>
    </w:rPr>
  </w:style>
  <w:style w:type="paragraph" w:styleId="Title">
    <w:name w:val="Title"/>
    <w:basedOn w:val="Normal"/>
    <w:next w:val="Normal"/>
    <w:link w:val="TitleChar"/>
    <w:uiPriority w:val="10"/>
    <w:qFormat/>
    <w:rsid w:val="00657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49E"/>
    <w:pPr>
      <w:spacing w:before="160"/>
      <w:jc w:val="center"/>
    </w:pPr>
    <w:rPr>
      <w:i/>
      <w:iCs/>
      <w:color w:val="404040" w:themeColor="text1" w:themeTint="BF"/>
    </w:rPr>
  </w:style>
  <w:style w:type="character" w:customStyle="1" w:styleId="QuoteChar">
    <w:name w:val="Quote Char"/>
    <w:basedOn w:val="DefaultParagraphFont"/>
    <w:link w:val="Quote"/>
    <w:uiPriority w:val="29"/>
    <w:rsid w:val="0065749E"/>
    <w:rPr>
      <w:i/>
      <w:iCs/>
      <w:color w:val="404040" w:themeColor="text1" w:themeTint="BF"/>
    </w:rPr>
  </w:style>
  <w:style w:type="paragraph" w:styleId="ListParagraph">
    <w:name w:val="List Paragraph"/>
    <w:basedOn w:val="Normal"/>
    <w:uiPriority w:val="34"/>
    <w:qFormat/>
    <w:rsid w:val="0065749E"/>
    <w:pPr>
      <w:ind w:left="720"/>
      <w:contextualSpacing/>
    </w:pPr>
  </w:style>
  <w:style w:type="character" w:styleId="IntenseEmphasis">
    <w:name w:val="Intense Emphasis"/>
    <w:basedOn w:val="DefaultParagraphFont"/>
    <w:uiPriority w:val="21"/>
    <w:qFormat/>
    <w:rsid w:val="0065749E"/>
    <w:rPr>
      <w:i/>
      <w:iCs/>
      <w:color w:val="2F5496" w:themeColor="accent1" w:themeShade="BF"/>
    </w:rPr>
  </w:style>
  <w:style w:type="paragraph" w:styleId="IntenseQuote">
    <w:name w:val="Intense Quote"/>
    <w:basedOn w:val="Normal"/>
    <w:next w:val="Normal"/>
    <w:link w:val="IntenseQuoteChar"/>
    <w:uiPriority w:val="30"/>
    <w:qFormat/>
    <w:rsid w:val="006574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749E"/>
    <w:rPr>
      <w:i/>
      <w:iCs/>
      <w:color w:val="2F5496" w:themeColor="accent1" w:themeShade="BF"/>
    </w:rPr>
  </w:style>
  <w:style w:type="character" w:styleId="IntenseReference">
    <w:name w:val="Intense Reference"/>
    <w:basedOn w:val="DefaultParagraphFont"/>
    <w:uiPriority w:val="32"/>
    <w:qFormat/>
    <w:rsid w:val="0065749E"/>
    <w:rPr>
      <w:b/>
      <w:bCs/>
      <w:smallCaps/>
      <w:color w:val="2F5496" w:themeColor="accent1" w:themeShade="BF"/>
      <w:spacing w:val="5"/>
    </w:rPr>
  </w:style>
  <w:style w:type="character" w:styleId="Hyperlink">
    <w:name w:val="Hyperlink"/>
    <w:basedOn w:val="DefaultParagraphFont"/>
    <w:uiPriority w:val="99"/>
    <w:unhideWhenUsed/>
    <w:rsid w:val="0002629E"/>
    <w:rPr>
      <w:color w:val="0563C1" w:themeColor="hyperlink"/>
      <w:u w:val="single"/>
    </w:rPr>
  </w:style>
  <w:style w:type="table" w:styleId="TableGrid">
    <w:name w:val="Table Grid"/>
    <w:basedOn w:val="TableNormal"/>
    <w:uiPriority w:val="39"/>
    <w:rsid w:val="00026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F37AA"/>
    <w:rPr>
      <w:color w:val="605E5C"/>
      <w:shd w:val="clear" w:color="auto" w:fill="E1DFDD"/>
    </w:rPr>
  </w:style>
  <w:style w:type="character" w:styleId="FollowedHyperlink">
    <w:name w:val="FollowedHyperlink"/>
    <w:basedOn w:val="DefaultParagraphFont"/>
    <w:uiPriority w:val="99"/>
    <w:semiHidden/>
    <w:unhideWhenUsed/>
    <w:rsid w:val="006C70E3"/>
    <w:rPr>
      <w:color w:val="954F72" w:themeColor="followedHyperlink"/>
      <w:u w:val="single"/>
    </w:rPr>
  </w:style>
  <w:style w:type="character" w:styleId="CommentReference">
    <w:name w:val="annotation reference"/>
    <w:basedOn w:val="DefaultParagraphFont"/>
    <w:uiPriority w:val="99"/>
    <w:semiHidden/>
    <w:unhideWhenUsed/>
    <w:rsid w:val="00AF03D1"/>
    <w:rPr>
      <w:sz w:val="16"/>
      <w:szCs w:val="16"/>
    </w:rPr>
  </w:style>
  <w:style w:type="paragraph" w:styleId="CommentText">
    <w:name w:val="annotation text"/>
    <w:basedOn w:val="Normal"/>
    <w:link w:val="CommentTextChar"/>
    <w:uiPriority w:val="99"/>
    <w:semiHidden/>
    <w:unhideWhenUsed/>
    <w:rsid w:val="00AF03D1"/>
    <w:pPr>
      <w:spacing w:line="240" w:lineRule="auto"/>
    </w:pPr>
    <w:rPr>
      <w:sz w:val="20"/>
      <w:szCs w:val="20"/>
    </w:rPr>
  </w:style>
  <w:style w:type="character" w:customStyle="1" w:styleId="CommentTextChar">
    <w:name w:val="Comment Text Char"/>
    <w:basedOn w:val="DefaultParagraphFont"/>
    <w:link w:val="CommentText"/>
    <w:uiPriority w:val="99"/>
    <w:semiHidden/>
    <w:rsid w:val="00AF03D1"/>
    <w:rPr>
      <w:sz w:val="20"/>
      <w:szCs w:val="20"/>
    </w:rPr>
  </w:style>
  <w:style w:type="paragraph" w:styleId="CommentSubject">
    <w:name w:val="annotation subject"/>
    <w:basedOn w:val="CommentText"/>
    <w:next w:val="CommentText"/>
    <w:link w:val="CommentSubjectChar"/>
    <w:uiPriority w:val="99"/>
    <w:semiHidden/>
    <w:unhideWhenUsed/>
    <w:rsid w:val="00AF03D1"/>
    <w:rPr>
      <w:b/>
      <w:bCs/>
    </w:rPr>
  </w:style>
  <w:style w:type="character" w:customStyle="1" w:styleId="CommentSubjectChar">
    <w:name w:val="Comment Subject Char"/>
    <w:basedOn w:val="CommentTextChar"/>
    <w:link w:val="CommentSubject"/>
    <w:uiPriority w:val="99"/>
    <w:semiHidden/>
    <w:rsid w:val="00AF03D1"/>
    <w:rPr>
      <w:b/>
      <w:bCs/>
      <w:sz w:val="20"/>
      <w:szCs w:val="20"/>
    </w:rPr>
  </w:style>
  <w:style w:type="paragraph" w:styleId="TOC2">
    <w:name w:val="toc 2"/>
    <w:basedOn w:val="Normal"/>
    <w:next w:val="Normal"/>
    <w:autoRedefine/>
    <w:uiPriority w:val="39"/>
    <w:unhideWhenUsed/>
    <w:rsid w:val="00E73956"/>
    <w:pPr>
      <w:tabs>
        <w:tab w:val="left" w:pos="90"/>
        <w:tab w:val="right" w:leader="dot" w:pos="9015"/>
      </w:tabs>
      <w:spacing w:after="100" w:line="480" w:lineRule="auto"/>
      <w:jc w:val="both"/>
    </w:pPr>
    <w:rPr>
      <w:rFonts w:ascii="Times New Roman" w:eastAsiaTheme="majorEastAsia" w:hAnsi="Times New Roman" w:cs="Times New Roman"/>
      <w:b/>
      <w:bCs/>
      <w:noProof/>
      <w:kern w:val="0"/>
      <w:sz w:val="24"/>
      <w:szCs w:val="24"/>
      <w:lang w:val="en-US"/>
      <w14:ligatures w14:val="none"/>
    </w:rPr>
  </w:style>
  <w:style w:type="paragraph" w:styleId="Header">
    <w:name w:val="header"/>
    <w:basedOn w:val="Normal"/>
    <w:link w:val="HeaderChar"/>
    <w:uiPriority w:val="99"/>
    <w:unhideWhenUsed/>
    <w:rsid w:val="006F5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BA4"/>
  </w:style>
  <w:style w:type="paragraph" w:styleId="Footer">
    <w:name w:val="footer"/>
    <w:basedOn w:val="Normal"/>
    <w:link w:val="FooterChar"/>
    <w:uiPriority w:val="99"/>
    <w:unhideWhenUsed/>
    <w:rsid w:val="006F5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BA4"/>
  </w:style>
  <w:style w:type="paragraph" w:styleId="BalloonText">
    <w:name w:val="Balloon Text"/>
    <w:basedOn w:val="Normal"/>
    <w:link w:val="BalloonTextChar"/>
    <w:uiPriority w:val="99"/>
    <w:semiHidden/>
    <w:unhideWhenUsed/>
    <w:rsid w:val="00683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76E"/>
    <w:rPr>
      <w:rFonts w:ascii="Segoe UI" w:hAnsi="Segoe UI" w:cs="Segoe UI"/>
      <w:sz w:val="18"/>
      <w:szCs w:val="18"/>
    </w:rPr>
  </w:style>
  <w:style w:type="paragraph" w:styleId="Revision">
    <w:name w:val="Revision"/>
    <w:hidden/>
    <w:uiPriority w:val="99"/>
    <w:semiHidden/>
    <w:rsid w:val="00D971BD"/>
    <w:pPr>
      <w:spacing w:after="0" w:line="240" w:lineRule="auto"/>
    </w:pPr>
  </w:style>
  <w:style w:type="character" w:customStyle="1" w:styleId="UnresolvedMention2">
    <w:name w:val="Unresolved Mention2"/>
    <w:basedOn w:val="DefaultParagraphFont"/>
    <w:uiPriority w:val="99"/>
    <w:semiHidden/>
    <w:unhideWhenUsed/>
    <w:rsid w:val="00867B69"/>
    <w:rPr>
      <w:color w:val="605E5C"/>
      <w:shd w:val="clear" w:color="auto" w:fill="E1DFDD"/>
    </w:rPr>
  </w:style>
  <w:style w:type="character" w:styleId="UnresolvedMention">
    <w:name w:val="Unresolved Mention"/>
    <w:basedOn w:val="DefaultParagraphFont"/>
    <w:uiPriority w:val="99"/>
    <w:semiHidden/>
    <w:unhideWhenUsed/>
    <w:rsid w:val="009E4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3315">
      <w:bodyDiv w:val="1"/>
      <w:marLeft w:val="0"/>
      <w:marRight w:val="0"/>
      <w:marTop w:val="0"/>
      <w:marBottom w:val="0"/>
      <w:divBdr>
        <w:top w:val="none" w:sz="0" w:space="0" w:color="auto"/>
        <w:left w:val="none" w:sz="0" w:space="0" w:color="auto"/>
        <w:bottom w:val="none" w:sz="0" w:space="0" w:color="auto"/>
        <w:right w:val="none" w:sz="0" w:space="0" w:color="auto"/>
      </w:divBdr>
    </w:div>
    <w:div w:id="126358919">
      <w:bodyDiv w:val="1"/>
      <w:marLeft w:val="0"/>
      <w:marRight w:val="0"/>
      <w:marTop w:val="0"/>
      <w:marBottom w:val="0"/>
      <w:divBdr>
        <w:top w:val="none" w:sz="0" w:space="0" w:color="auto"/>
        <w:left w:val="none" w:sz="0" w:space="0" w:color="auto"/>
        <w:bottom w:val="none" w:sz="0" w:space="0" w:color="auto"/>
        <w:right w:val="none" w:sz="0" w:space="0" w:color="auto"/>
      </w:divBdr>
      <w:divsChild>
        <w:div w:id="1914700226">
          <w:marLeft w:val="0"/>
          <w:marRight w:val="0"/>
          <w:marTop w:val="0"/>
          <w:marBottom w:val="0"/>
          <w:divBdr>
            <w:top w:val="none" w:sz="0" w:space="0" w:color="auto"/>
            <w:left w:val="none" w:sz="0" w:space="0" w:color="auto"/>
            <w:bottom w:val="none" w:sz="0" w:space="0" w:color="auto"/>
            <w:right w:val="none" w:sz="0" w:space="0" w:color="auto"/>
          </w:divBdr>
          <w:divsChild>
            <w:div w:id="36190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5881">
      <w:bodyDiv w:val="1"/>
      <w:marLeft w:val="0"/>
      <w:marRight w:val="0"/>
      <w:marTop w:val="0"/>
      <w:marBottom w:val="0"/>
      <w:divBdr>
        <w:top w:val="none" w:sz="0" w:space="0" w:color="auto"/>
        <w:left w:val="none" w:sz="0" w:space="0" w:color="auto"/>
        <w:bottom w:val="none" w:sz="0" w:space="0" w:color="auto"/>
        <w:right w:val="none" w:sz="0" w:space="0" w:color="auto"/>
      </w:divBdr>
    </w:div>
    <w:div w:id="289283524">
      <w:bodyDiv w:val="1"/>
      <w:marLeft w:val="0"/>
      <w:marRight w:val="0"/>
      <w:marTop w:val="0"/>
      <w:marBottom w:val="0"/>
      <w:divBdr>
        <w:top w:val="none" w:sz="0" w:space="0" w:color="auto"/>
        <w:left w:val="none" w:sz="0" w:space="0" w:color="auto"/>
        <w:bottom w:val="none" w:sz="0" w:space="0" w:color="auto"/>
        <w:right w:val="none" w:sz="0" w:space="0" w:color="auto"/>
      </w:divBdr>
      <w:divsChild>
        <w:div w:id="50811143">
          <w:marLeft w:val="0"/>
          <w:marRight w:val="0"/>
          <w:marTop w:val="0"/>
          <w:marBottom w:val="0"/>
          <w:divBdr>
            <w:top w:val="none" w:sz="0" w:space="0" w:color="auto"/>
            <w:left w:val="none" w:sz="0" w:space="0" w:color="auto"/>
            <w:bottom w:val="none" w:sz="0" w:space="0" w:color="auto"/>
            <w:right w:val="none" w:sz="0" w:space="0" w:color="auto"/>
          </w:divBdr>
          <w:divsChild>
            <w:div w:id="98227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70881">
      <w:bodyDiv w:val="1"/>
      <w:marLeft w:val="0"/>
      <w:marRight w:val="0"/>
      <w:marTop w:val="0"/>
      <w:marBottom w:val="0"/>
      <w:divBdr>
        <w:top w:val="none" w:sz="0" w:space="0" w:color="auto"/>
        <w:left w:val="none" w:sz="0" w:space="0" w:color="auto"/>
        <w:bottom w:val="none" w:sz="0" w:space="0" w:color="auto"/>
        <w:right w:val="none" w:sz="0" w:space="0" w:color="auto"/>
      </w:divBdr>
    </w:div>
    <w:div w:id="332033902">
      <w:bodyDiv w:val="1"/>
      <w:marLeft w:val="0"/>
      <w:marRight w:val="0"/>
      <w:marTop w:val="0"/>
      <w:marBottom w:val="0"/>
      <w:divBdr>
        <w:top w:val="none" w:sz="0" w:space="0" w:color="auto"/>
        <w:left w:val="none" w:sz="0" w:space="0" w:color="auto"/>
        <w:bottom w:val="none" w:sz="0" w:space="0" w:color="auto"/>
        <w:right w:val="none" w:sz="0" w:space="0" w:color="auto"/>
      </w:divBdr>
    </w:div>
    <w:div w:id="380717079">
      <w:bodyDiv w:val="1"/>
      <w:marLeft w:val="0"/>
      <w:marRight w:val="0"/>
      <w:marTop w:val="0"/>
      <w:marBottom w:val="0"/>
      <w:divBdr>
        <w:top w:val="none" w:sz="0" w:space="0" w:color="auto"/>
        <w:left w:val="none" w:sz="0" w:space="0" w:color="auto"/>
        <w:bottom w:val="none" w:sz="0" w:space="0" w:color="auto"/>
        <w:right w:val="none" w:sz="0" w:space="0" w:color="auto"/>
      </w:divBdr>
      <w:divsChild>
        <w:div w:id="2138061055">
          <w:marLeft w:val="0"/>
          <w:marRight w:val="0"/>
          <w:marTop w:val="0"/>
          <w:marBottom w:val="0"/>
          <w:divBdr>
            <w:top w:val="none" w:sz="0" w:space="0" w:color="auto"/>
            <w:left w:val="none" w:sz="0" w:space="0" w:color="auto"/>
            <w:bottom w:val="none" w:sz="0" w:space="0" w:color="auto"/>
            <w:right w:val="none" w:sz="0" w:space="0" w:color="auto"/>
          </w:divBdr>
          <w:divsChild>
            <w:div w:id="1182205796">
              <w:marLeft w:val="0"/>
              <w:marRight w:val="0"/>
              <w:marTop w:val="0"/>
              <w:marBottom w:val="0"/>
              <w:divBdr>
                <w:top w:val="none" w:sz="0" w:space="0" w:color="auto"/>
                <w:left w:val="none" w:sz="0" w:space="0" w:color="auto"/>
                <w:bottom w:val="none" w:sz="0" w:space="0" w:color="auto"/>
                <w:right w:val="none" w:sz="0" w:space="0" w:color="auto"/>
              </w:divBdr>
              <w:divsChild>
                <w:div w:id="217479008">
                  <w:marLeft w:val="0"/>
                  <w:marRight w:val="0"/>
                  <w:marTop w:val="0"/>
                  <w:marBottom w:val="0"/>
                  <w:divBdr>
                    <w:top w:val="none" w:sz="0" w:space="0" w:color="auto"/>
                    <w:left w:val="none" w:sz="0" w:space="0" w:color="auto"/>
                    <w:bottom w:val="none" w:sz="0" w:space="0" w:color="auto"/>
                    <w:right w:val="none" w:sz="0" w:space="0" w:color="auto"/>
                  </w:divBdr>
                  <w:divsChild>
                    <w:div w:id="1434132613">
                      <w:marLeft w:val="0"/>
                      <w:marRight w:val="0"/>
                      <w:marTop w:val="0"/>
                      <w:marBottom w:val="0"/>
                      <w:divBdr>
                        <w:top w:val="none" w:sz="0" w:space="0" w:color="auto"/>
                        <w:left w:val="none" w:sz="0" w:space="0" w:color="auto"/>
                        <w:bottom w:val="none" w:sz="0" w:space="0" w:color="auto"/>
                        <w:right w:val="none" w:sz="0" w:space="0" w:color="auto"/>
                      </w:divBdr>
                      <w:divsChild>
                        <w:div w:id="1612317782">
                          <w:marLeft w:val="0"/>
                          <w:marRight w:val="0"/>
                          <w:marTop w:val="0"/>
                          <w:marBottom w:val="0"/>
                          <w:divBdr>
                            <w:top w:val="none" w:sz="0" w:space="0" w:color="auto"/>
                            <w:left w:val="none" w:sz="0" w:space="0" w:color="auto"/>
                            <w:bottom w:val="none" w:sz="0" w:space="0" w:color="auto"/>
                            <w:right w:val="none" w:sz="0" w:space="0" w:color="auto"/>
                          </w:divBdr>
                          <w:divsChild>
                            <w:div w:id="654800810">
                              <w:marLeft w:val="0"/>
                              <w:marRight w:val="0"/>
                              <w:marTop w:val="0"/>
                              <w:marBottom w:val="0"/>
                              <w:divBdr>
                                <w:top w:val="none" w:sz="0" w:space="0" w:color="auto"/>
                                <w:left w:val="none" w:sz="0" w:space="0" w:color="auto"/>
                                <w:bottom w:val="none" w:sz="0" w:space="0" w:color="auto"/>
                                <w:right w:val="none" w:sz="0" w:space="0" w:color="auto"/>
                              </w:divBdr>
                              <w:divsChild>
                                <w:div w:id="741222143">
                                  <w:marLeft w:val="0"/>
                                  <w:marRight w:val="0"/>
                                  <w:marTop w:val="0"/>
                                  <w:marBottom w:val="0"/>
                                  <w:divBdr>
                                    <w:top w:val="none" w:sz="0" w:space="0" w:color="auto"/>
                                    <w:left w:val="none" w:sz="0" w:space="0" w:color="auto"/>
                                    <w:bottom w:val="none" w:sz="0" w:space="0" w:color="auto"/>
                                    <w:right w:val="none" w:sz="0" w:space="0" w:color="auto"/>
                                  </w:divBdr>
                                  <w:divsChild>
                                    <w:div w:id="95193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747509">
      <w:bodyDiv w:val="1"/>
      <w:marLeft w:val="0"/>
      <w:marRight w:val="0"/>
      <w:marTop w:val="0"/>
      <w:marBottom w:val="0"/>
      <w:divBdr>
        <w:top w:val="none" w:sz="0" w:space="0" w:color="auto"/>
        <w:left w:val="none" w:sz="0" w:space="0" w:color="auto"/>
        <w:bottom w:val="none" w:sz="0" w:space="0" w:color="auto"/>
        <w:right w:val="none" w:sz="0" w:space="0" w:color="auto"/>
      </w:divBdr>
    </w:div>
    <w:div w:id="503210433">
      <w:bodyDiv w:val="1"/>
      <w:marLeft w:val="0"/>
      <w:marRight w:val="0"/>
      <w:marTop w:val="0"/>
      <w:marBottom w:val="0"/>
      <w:divBdr>
        <w:top w:val="none" w:sz="0" w:space="0" w:color="auto"/>
        <w:left w:val="none" w:sz="0" w:space="0" w:color="auto"/>
        <w:bottom w:val="none" w:sz="0" w:space="0" w:color="auto"/>
        <w:right w:val="none" w:sz="0" w:space="0" w:color="auto"/>
      </w:divBdr>
      <w:divsChild>
        <w:div w:id="1874684696">
          <w:marLeft w:val="0"/>
          <w:marRight w:val="0"/>
          <w:marTop w:val="0"/>
          <w:marBottom w:val="0"/>
          <w:divBdr>
            <w:top w:val="none" w:sz="0" w:space="0" w:color="auto"/>
            <w:left w:val="none" w:sz="0" w:space="0" w:color="auto"/>
            <w:bottom w:val="none" w:sz="0" w:space="0" w:color="auto"/>
            <w:right w:val="none" w:sz="0" w:space="0" w:color="auto"/>
          </w:divBdr>
          <w:divsChild>
            <w:div w:id="105173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9004">
      <w:bodyDiv w:val="1"/>
      <w:marLeft w:val="0"/>
      <w:marRight w:val="0"/>
      <w:marTop w:val="0"/>
      <w:marBottom w:val="0"/>
      <w:divBdr>
        <w:top w:val="none" w:sz="0" w:space="0" w:color="auto"/>
        <w:left w:val="none" w:sz="0" w:space="0" w:color="auto"/>
        <w:bottom w:val="none" w:sz="0" w:space="0" w:color="auto"/>
        <w:right w:val="none" w:sz="0" w:space="0" w:color="auto"/>
      </w:divBdr>
    </w:div>
    <w:div w:id="532423701">
      <w:bodyDiv w:val="1"/>
      <w:marLeft w:val="0"/>
      <w:marRight w:val="0"/>
      <w:marTop w:val="0"/>
      <w:marBottom w:val="0"/>
      <w:divBdr>
        <w:top w:val="none" w:sz="0" w:space="0" w:color="auto"/>
        <w:left w:val="none" w:sz="0" w:space="0" w:color="auto"/>
        <w:bottom w:val="none" w:sz="0" w:space="0" w:color="auto"/>
        <w:right w:val="none" w:sz="0" w:space="0" w:color="auto"/>
      </w:divBdr>
      <w:divsChild>
        <w:div w:id="136655292">
          <w:marLeft w:val="0"/>
          <w:marRight w:val="0"/>
          <w:marTop w:val="0"/>
          <w:marBottom w:val="0"/>
          <w:divBdr>
            <w:top w:val="none" w:sz="0" w:space="0" w:color="auto"/>
            <w:left w:val="none" w:sz="0" w:space="0" w:color="auto"/>
            <w:bottom w:val="none" w:sz="0" w:space="0" w:color="auto"/>
            <w:right w:val="none" w:sz="0" w:space="0" w:color="auto"/>
          </w:divBdr>
          <w:divsChild>
            <w:div w:id="145451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3928">
      <w:bodyDiv w:val="1"/>
      <w:marLeft w:val="0"/>
      <w:marRight w:val="0"/>
      <w:marTop w:val="0"/>
      <w:marBottom w:val="0"/>
      <w:divBdr>
        <w:top w:val="none" w:sz="0" w:space="0" w:color="auto"/>
        <w:left w:val="none" w:sz="0" w:space="0" w:color="auto"/>
        <w:bottom w:val="none" w:sz="0" w:space="0" w:color="auto"/>
        <w:right w:val="none" w:sz="0" w:space="0" w:color="auto"/>
      </w:divBdr>
      <w:divsChild>
        <w:div w:id="339817613">
          <w:marLeft w:val="0"/>
          <w:marRight w:val="0"/>
          <w:marTop w:val="0"/>
          <w:marBottom w:val="0"/>
          <w:divBdr>
            <w:top w:val="none" w:sz="0" w:space="0" w:color="auto"/>
            <w:left w:val="none" w:sz="0" w:space="0" w:color="auto"/>
            <w:bottom w:val="none" w:sz="0" w:space="0" w:color="auto"/>
            <w:right w:val="none" w:sz="0" w:space="0" w:color="auto"/>
          </w:divBdr>
          <w:divsChild>
            <w:div w:id="107659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3127">
      <w:bodyDiv w:val="1"/>
      <w:marLeft w:val="0"/>
      <w:marRight w:val="0"/>
      <w:marTop w:val="0"/>
      <w:marBottom w:val="0"/>
      <w:divBdr>
        <w:top w:val="none" w:sz="0" w:space="0" w:color="auto"/>
        <w:left w:val="none" w:sz="0" w:space="0" w:color="auto"/>
        <w:bottom w:val="none" w:sz="0" w:space="0" w:color="auto"/>
        <w:right w:val="none" w:sz="0" w:space="0" w:color="auto"/>
      </w:divBdr>
      <w:divsChild>
        <w:div w:id="489564187">
          <w:marLeft w:val="0"/>
          <w:marRight w:val="0"/>
          <w:marTop w:val="0"/>
          <w:marBottom w:val="0"/>
          <w:divBdr>
            <w:top w:val="none" w:sz="0" w:space="0" w:color="auto"/>
            <w:left w:val="none" w:sz="0" w:space="0" w:color="auto"/>
            <w:bottom w:val="none" w:sz="0" w:space="0" w:color="auto"/>
            <w:right w:val="none" w:sz="0" w:space="0" w:color="auto"/>
          </w:divBdr>
          <w:divsChild>
            <w:div w:id="17815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830269">
      <w:bodyDiv w:val="1"/>
      <w:marLeft w:val="0"/>
      <w:marRight w:val="0"/>
      <w:marTop w:val="0"/>
      <w:marBottom w:val="0"/>
      <w:divBdr>
        <w:top w:val="none" w:sz="0" w:space="0" w:color="auto"/>
        <w:left w:val="none" w:sz="0" w:space="0" w:color="auto"/>
        <w:bottom w:val="none" w:sz="0" w:space="0" w:color="auto"/>
        <w:right w:val="none" w:sz="0" w:space="0" w:color="auto"/>
      </w:divBdr>
      <w:divsChild>
        <w:div w:id="1517500291">
          <w:marLeft w:val="0"/>
          <w:marRight w:val="0"/>
          <w:marTop w:val="0"/>
          <w:marBottom w:val="0"/>
          <w:divBdr>
            <w:top w:val="none" w:sz="0" w:space="0" w:color="auto"/>
            <w:left w:val="none" w:sz="0" w:space="0" w:color="auto"/>
            <w:bottom w:val="none" w:sz="0" w:space="0" w:color="auto"/>
            <w:right w:val="none" w:sz="0" w:space="0" w:color="auto"/>
          </w:divBdr>
          <w:divsChild>
            <w:div w:id="4414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6370">
      <w:bodyDiv w:val="1"/>
      <w:marLeft w:val="0"/>
      <w:marRight w:val="0"/>
      <w:marTop w:val="0"/>
      <w:marBottom w:val="0"/>
      <w:divBdr>
        <w:top w:val="none" w:sz="0" w:space="0" w:color="auto"/>
        <w:left w:val="none" w:sz="0" w:space="0" w:color="auto"/>
        <w:bottom w:val="none" w:sz="0" w:space="0" w:color="auto"/>
        <w:right w:val="none" w:sz="0" w:space="0" w:color="auto"/>
      </w:divBdr>
    </w:div>
    <w:div w:id="1026441511">
      <w:bodyDiv w:val="1"/>
      <w:marLeft w:val="0"/>
      <w:marRight w:val="0"/>
      <w:marTop w:val="0"/>
      <w:marBottom w:val="0"/>
      <w:divBdr>
        <w:top w:val="none" w:sz="0" w:space="0" w:color="auto"/>
        <w:left w:val="none" w:sz="0" w:space="0" w:color="auto"/>
        <w:bottom w:val="none" w:sz="0" w:space="0" w:color="auto"/>
        <w:right w:val="none" w:sz="0" w:space="0" w:color="auto"/>
      </w:divBdr>
    </w:div>
    <w:div w:id="1123231665">
      <w:bodyDiv w:val="1"/>
      <w:marLeft w:val="0"/>
      <w:marRight w:val="0"/>
      <w:marTop w:val="0"/>
      <w:marBottom w:val="0"/>
      <w:divBdr>
        <w:top w:val="none" w:sz="0" w:space="0" w:color="auto"/>
        <w:left w:val="none" w:sz="0" w:space="0" w:color="auto"/>
        <w:bottom w:val="none" w:sz="0" w:space="0" w:color="auto"/>
        <w:right w:val="none" w:sz="0" w:space="0" w:color="auto"/>
      </w:divBdr>
    </w:div>
    <w:div w:id="1218278870">
      <w:bodyDiv w:val="1"/>
      <w:marLeft w:val="0"/>
      <w:marRight w:val="0"/>
      <w:marTop w:val="0"/>
      <w:marBottom w:val="0"/>
      <w:divBdr>
        <w:top w:val="none" w:sz="0" w:space="0" w:color="auto"/>
        <w:left w:val="none" w:sz="0" w:space="0" w:color="auto"/>
        <w:bottom w:val="none" w:sz="0" w:space="0" w:color="auto"/>
        <w:right w:val="none" w:sz="0" w:space="0" w:color="auto"/>
      </w:divBdr>
      <w:divsChild>
        <w:div w:id="179470240">
          <w:marLeft w:val="0"/>
          <w:marRight w:val="0"/>
          <w:marTop w:val="0"/>
          <w:marBottom w:val="0"/>
          <w:divBdr>
            <w:top w:val="none" w:sz="0" w:space="0" w:color="auto"/>
            <w:left w:val="none" w:sz="0" w:space="0" w:color="auto"/>
            <w:bottom w:val="none" w:sz="0" w:space="0" w:color="auto"/>
            <w:right w:val="none" w:sz="0" w:space="0" w:color="auto"/>
          </w:divBdr>
          <w:divsChild>
            <w:div w:id="4681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423974">
      <w:bodyDiv w:val="1"/>
      <w:marLeft w:val="0"/>
      <w:marRight w:val="0"/>
      <w:marTop w:val="0"/>
      <w:marBottom w:val="0"/>
      <w:divBdr>
        <w:top w:val="none" w:sz="0" w:space="0" w:color="auto"/>
        <w:left w:val="none" w:sz="0" w:space="0" w:color="auto"/>
        <w:bottom w:val="none" w:sz="0" w:space="0" w:color="auto"/>
        <w:right w:val="none" w:sz="0" w:space="0" w:color="auto"/>
      </w:divBdr>
    </w:div>
    <w:div w:id="1280532265">
      <w:bodyDiv w:val="1"/>
      <w:marLeft w:val="0"/>
      <w:marRight w:val="0"/>
      <w:marTop w:val="0"/>
      <w:marBottom w:val="0"/>
      <w:divBdr>
        <w:top w:val="none" w:sz="0" w:space="0" w:color="auto"/>
        <w:left w:val="none" w:sz="0" w:space="0" w:color="auto"/>
        <w:bottom w:val="none" w:sz="0" w:space="0" w:color="auto"/>
        <w:right w:val="none" w:sz="0" w:space="0" w:color="auto"/>
      </w:divBdr>
    </w:div>
    <w:div w:id="1441682109">
      <w:bodyDiv w:val="1"/>
      <w:marLeft w:val="0"/>
      <w:marRight w:val="0"/>
      <w:marTop w:val="0"/>
      <w:marBottom w:val="0"/>
      <w:divBdr>
        <w:top w:val="none" w:sz="0" w:space="0" w:color="auto"/>
        <w:left w:val="none" w:sz="0" w:space="0" w:color="auto"/>
        <w:bottom w:val="none" w:sz="0" w:space="0" w:color="auto"/>
        <w:right w:val="none" w:sz="0" w:space="0" w:color="auto"/>
      </w:divBdr>
      <w:divsChild>
        <w:div w:id="613631080">
          <w:marLeft w:val="0"/>
          <w:marRight w:val="0"/>
          <w:marTop w:val="0"/>
          <w:marBottom w:val="0"/>
          <w:divBdr>
            <w:top w:val="none" w:sz="0" w:space="0" w:color="auto"/>
            <w:left w:val="none" w:sz="0" w:space="0" w:color="auto"/>
            <w:bottom w:val="none" w:sz="0" w:space="0" w:color="auto"/>
            <w:right w:val="none" w:sz="0" w:space="0" w:color="auto"/>
          </w:divBdr>
          <w:divsChild>
            <w:div w:id="190749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81177">
      <w:bodyDiv w:val="1"/>
      <w:marLeft w:val="0"/>
      <w:marRight w:val="0"/>
      <w:marTop w:val="0"/>
      <w:marBottom w:val="0"/>
      <w:divBdr>
        <w:top w:val="none" w:sz="0" w:space="0" w:color="auto"/>
        <w:left w:val="none" w:sz="0" w:space="0" w:color="auto"/>
        <w:bottom w:val="none" w:sz="0" w:space="0" w:color="auto"/>
        <w:right w:val="none" w:sz="0" w:space="0" w:color="auto"/>
      </w:divBdr>
    </w:div>
    <w:div w:id="1604261829">
      <w:bodyDiv w:val="1"/>
      <w:marLeft w:val="0"/>
      <w:marRight w:val="0"/>
      <w:marTop w:val="0"/>
      <w:marBottom w:val="0"/>
      <w:divBdr>
        <w:top w:val="none" w:sz="0" w:space="0" w:color="auto"/>
        <w:left w:val="none" w:sz="0" w:space="0" w:color="auto"/>
        <w:bottom w:val="none" w:sz="0" w:space="0" w:color="auto"/>
        <w:right w:val="none" w:sz="0" w:space="0" w:color="auto"/>
      </w:divBdr>
    </w:div>
    <w:div w:id="1847554316">
      <w:bodyDiv w:val="1"/>
      <w:marLeft w:val="0"/>
      <w:marRight w:val="0"/>
      <w:marTop w:val="0"/>
      <w:marBottom w:val="0"/>
      <w:divBdr>
        <w:top w:val="none" w:sz="0" w:space="0" w:color="auto"/>
        <w:left w:val="none" w:sz="0" w:space="0" w:color="auto"/>
        <w:bottom w:val="none" w:sz="0" w:space="0" w:color="auto"/>
        <w:right w:val="none" w:sz="0" w:space="0" w:color="auto"/>
      </w:divBdr>
    </w:div>
    <w:div w:id="1882471801">
      <w:bodyDiv w:val="1"/>
      <w:marLeft w:val="0"/>
      <w:marRight w:val="0"/>
      <w:marTop w:val="0"/>
      <w:marBottom w:val="0"/>
      <w:divBdr>
        <w:top w:val="none" w:sz="0" w:space="0" w:color="auto"/>
        <w:left w:val="none" w:sz="0" w:space="0" w:color="auto"/>
        <w:bottom w:val="none" w:sz="0" w:space="0" w:color="auto"/>
        <w:right w:val="none" w:sz="0" w:space="0" w:color="auto"/>
      </w:divBdr>
    </w:div>
    <w:div w:id="1889491062">
      <w:bodyDiv w:val="1"/>
      <w:marLeft w:val="0"/>
      <w:marRight w:val="0"/>
      <w:marTop w:val="0"/>
      <w:marBottom w:val="0"/>
      <w:divBdr>
        <w:top w:val="none" w:sz="0" w:space="0" w:color="auto"/>
        <w:left w:val="none" w:sz="0" w:space="0" w:color="auto"/>
        <w:bottom w:val="none" w:sz="0" w:space="0" w:color="auto"/>
        <w:right w:val="none" w:sz="0" w:space="0" w:color="auto"/>
      </w:divBdr>
      <w:divsChild>
        <w:div w:id="1539852566">
          <w:marLeft w:val="0"/>
          <w:marRight w:val="0"/>
          <w:marTop w:val="0"/>
          <w:marBottom w:val="0"/>
          <w:divBdr>
            <w:top w:val="none" w:sz="0" w:space="0" w:color="auto"/>
            <w:left w:val="none" w:sz="0" w:space="0" w:color="auto"/>
            <w:bottom w:val="none" w:sz="0" w:space="0" w:color="auto"/>
            <w:right w:val="none" w:sz="0" w:space="0" w:color="auto"/>
          </w:divBdr>
          <w:divsChild>
            <w:div w:id="17377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7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8510/hssr.2021.9247" TargetMode="External"/><Relationship Id="rId21" Type="http://schemas.openxmlformats.org/officeDocument/2006/relationships/hyperlink" Target="http://dx.doi.org/10.17507/tpls.0602.10" TargetMode="External"/><Relationship Id="rId42" Type="http://schemas.openxmlformats.org/officeDocument/2006/relationships/hyperlink" Target="https://doi.org/10.22034/ijce.2023.409045.1515" TargetMode="External"/><Relationship Id="rId47" Type="http://schemas.openxmlformats.org/officeDocument/2006/relationships/hyperlink" Target="http://dx.doi.org/10.17507/jltr.0703.26" TargetMode="External"/><Relationship Id="rId63" Type="http://schemas.openxmlformats.org/officeDocument/2006/relationships/hyperlink" Target="https://doi.org/10.7575/aiac.ijalel.v.8n.4p.88" TargetMode="External"/><Relationship Id="rId68" Type="http://schemas.openxmlformats.org/officeDocument/2006/relationships/hyperlink" Target="https://doi.org/10.1186/s40468-018-0061-8" TargetMode="External"/><Relationship Id="rId84" Type="http://schemas.openxmlformats.org/officeDocument/2006/relationships/fontTable" Target="fontTable.xml"/><Relationship Id="rId16" Type="http://schemas.openxmlformats.org/officeDocument/2006/relationships/hyperlink" Target="https://doi.org/10.1016/j.ssaho.2020.100047" TargetMode="External"/><Relationship Id="rId11" Type="http://schemas.openxmlformats.org/officeDocument/2006/relationships/hyperlink" Target="https://doi.org/10.77607/jlsr.1709.23" TargetMode="External"/><Relationship Id="rId32" Type="http://schemas.openxmlformats.org/officeDocument/2006/relationships/hyperlink" Target="https://doi.org/10.3389/fpsyt.2017.00282" TargetMode="External"/><Relationship Id="rId37" Type="http://schemas.openxmlformats.org/officeDocument/2006/relationships/hyperlink" Target="https://doi.org/10.1007/s11858-021-01271-0" TargetMode="External"/><Relationship Id="rId53" Type="http://schemas.openxmlformats.org/officeDocument/2006/relationships/hyperlink" Target="https://doi.org/10.23918/vesal2017.a6" TargetMode="External"/><Relationship Id="rId58" Type="http://schemas.openxmlformats.org/officeDocument/2006/relationships/hyperlink" Target="https://eric.ed.gov/?id=EJ1072790" TargetMode="External"/><Relationship Id="rId74" Type="http://schemas.openxmlformats.org/officeDocument/2006/relationships/hyperlink" Target="https://doi.org/10.1093/elt/42.4.237" TargetMode="External"/><Relationship Id="rId79" Type="http://schemas.openxmlformats.org/officeDocument/2006/relationships/image" Target="media/image2.png"/><Relationship Id="rId5" Type="http://schemas.openxmlformats.org/officeDocument/2006/relationships/webSettings" Target="webSettings.xml"/><Relationship Id="rId19" Type="http://schemas.openxmlformats.org/officeDocument/2006/relationships/hyperlink" Target="https://doi.org/10.1080/00210862.2019.1573135" TargetMode="External"/><Relationship Id="rId14" Type="http://schemas.openxmlformats.org/officeDocument/2006/relationships/hyperlink" Target="https://doi.org/10.31559/BAES2024.9.1.3" TargetMode="External"/><Relationship Id="rId22" Type="http://schemas.openxmlformats.org/officeDocument/2006/relationships/hyperlink" Target="https://doi.org/10.3316/informit.721679314152269" TargetMode="External"/><Relationship Id="rId27" Type="http://schemas.openxmlformats.org/officeDocument/2006/relationships/hyperlink" Target="https://doi.org/10.1016/j.ijedudev.2023.102918" TargetMode="External"/><Relationship Id="rId30" Type="http://schemas.openxmlformats.org/officeDocument/2006/relationships/hyperlink" Target="https://doi.org/10.35950/cbej.v23i99.6538" TargetMode="External"/><Relationship Id="rId35" Type="http://schemas.openxmlformats.org/officeDocument/2006/relationships/hyperlink" Target="https://doi.org/10.3316/informit.748915031941623" TargetMode="External"/><Relationship Id="rId43" Type="http://schemas.openxmlformats.org/officeDocument/2006/relationships/hyperlink" Target="http://dx.doi.org/10.47832/2757-5403.4-3.14" TargetMode="External"/><Relationship Id="rId48" Type="http://schemas.openxmlformats.org/officeDocument/2006/relationships/hyperlink" Target="https://sid.ir/paper/166041/en" TargetMode="External"/><Relationship Id="rId56" Type="http://schemas.openxmlformats.org/officeDocument/2006/relationships/hyperlink" Target="https://doi.org/10.18690/978-961-286-358-6.10" TargetMode="External"/><Relationship Id="rId64" Type="http://schemas.openxmlformats.org/officeDocument/2006/relationships/hyperlink" Target="https://doi.org/10.1007/s10993-016-9409-z" TargetMode="External"/><Relationship Id="rId69" Type="http://schemas.openxmlformats.org/officeDocument/2006/relationships/hyperlink" Target="https://doi.org/10.1007/s10734-017-0125-1" TargetMode="External"/><Relationship Id="rId77" Type="http://schemas.openxmlformats.org/officeDocument/2006/relationships/hyperlink" Target="https://doi.org/10.1016/j.linged.2020.100901" TargetMode="External"/><Relationship Id="rId8" Type="http://schemas.openxmlformats.org/officeDocument/2006/relationships/image" Target="media/image1.png"/><Relationship Id="rId51" Type="http://schemas.openxmlformats.org/officeDocument/2006/relationships/hyperlink" Target="https://doi.org/10.17507/jltr.1106.09" TargetMode="External"/><Relationship Id="rId72" Type="http://schemas.openxmlformats.org/officeDocument/2006/relationships/hyperlink" Target="https://doi.org/10.1177/21582440221148445" TargetMode="External"/><Relationship Id="rId80" Type="http://schemas.openxmlformats.org/officeDocument/2006/relationships/image" Target="media/image3.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assajournal.com/index.php/36/article/view/236" TargetMode="External"/><Relationship Id="rId17" Type="http://schemas.openxmlformats.org/officeDocument/2006/relationships/hyperlink" Target="https://doi.org/10.55202/ajcas.v2i1.106" TargetMode="External"/><Relationship Id="rId25" Type="http://schemas.openxmlformats.org/officeDocument/2006/relationships/hyperlink" Target="https://doi.org/10.1016/j.worlddev.2019.02.008" TargetMode="External"/><Relationship Id="rId33" Type="http://schemas.openxmlformats.org/officeDocument/2006/relationships/hyperlink" Target="https://doi.org/10.22034/jespp.2025.513538.1001" TargetMode="External"/><Relationship Id="rId38" Type="http://schemas.openxmlformats.org/officeDocument/2006/relationships/hyperlink" Target="https://doi.org/10.30486/relp.2020.1881368.1162" TargetMode="External"/><Relationship Id="rId46" Type="http://schemas.openxmlformats.org/officeDocument/2006/relationships/hyperlink" Target="https://doi.org/10.22054/ilt.2021.58226.569" TargetMode="External"/><Relationship Id="rId59" Type="http://schemas.openxmlformats.org/officeDocument/2006/relationships/hyperlink" Target="https://hdl.handle.net/10520/ejc-hervorm_v79_n1_a8592" TargetMode="External"/><Relationship Id="rId67" Type="http://schemas.openxmlformats.org/officeDocument/2006/relationships/hyperlink" Target="https://doi.org/10.58803/jclr.v1i2.11" TargetMode="External"/><Relationship Id="rId20" Type="http://schemas.openxmlformats.org/officeDocument/2006/relationships/hyperlink" Target="https://doi.org/10.3102/0013189X021007004" TargetMode="External"/><Relationship Id="rId41" Type="http://schemas.openxmlformats.org/officeDocument/2006/relationships/hyperlink" Target="https://doi.org/10.3390/su14116940" TargetMode="External"/><Relationship Id="rId54" Type="http://schemas.openxmlformats.org/officeDocument/2006/relationships/hyperlink" Target="https://doi.org/10.52337/pjer.v5i4.662" TargetMode="External"/><Relationship Id="rId62" Type="http://schemas.openxmlformats.org/officeDocument/2006/relationships/hyperlink" Target="https://doi.org/10.1080/17405904.2022.2160364" TargetMode="External"/><Relationship Id="rId70" Type="http://schemas.openxmlformats.org/officeDocument/2006/relationships/hyperlink" Target="https://doi.org/10.1177/23294906231184814" TargetMode="External"/><Relationship Id="rId75" Type="http://schemas.openxmlformats.org/officeDocument/2006/relationships/hyperlink" Target="https://doi.org/10.1111/spsr.12503" TargetMode="External"/><Relationship Id="rId83"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ijmedinf.2020.104232" TargetMode="External"/><Relationship Id="rId23" Type="http://schemas.openxmlformats.org/officeDocument/2006/relationships/hyperlink" Target="https://doi.org/10.1007/978-3-031-83967-2_9" TargetMode="External"/><Relationship Id="rId28" Type="http://schemas.openxmlformats.org/officeDocument/2006/relationships/hyperlink" Target="https://doi.org/10.1108/JME-10-2024-0138" TargetMode="External"/><Relationship Id="rId36" Type="http://schemas.openxmlformats.org/officeDocument/2006/relationships/hyperlink" Target="https://doi.org/10.18326/register.v18i1.30-47" TargetMode="External"/><Relationship Id="rId49" Type="http://schemas.openxmlformats.org/officeDocument/2006/relationships/hyperlink" Target="https://doi.org/10.3828/ejlp.2017.3" TargetMode="External"/><Relationship Id="rId57" Type="http://schemas.openxmlformats.org/officeDocument/2006/relationships/hyperlink" Target="https://doi.org/10.22034/efl.2025.499206.1337" TargetMode="External"/><Relationship Id="rId10" Type="http://schemas.openxmlformats.org/officeDocument/2006/relationships/header" Target="header1.xml"/><Relationship Id="rId31" Type="http://schemas.openxmlformats.org/officeDocument/2006/relationships/hyperlink" Target="https://doi.org/10.17763/haer.40.2.q7n227021n148p26" TargetMode="External"/><Relationship Id="rId44" Type="http://schemas.openxmlformats.org/officeDocument/2006/relationships/hyperlink" Target="https://doi.org/10.25130/Lang.8.12.17" TargetMode="External"/><Relationship Id="rId52" Type="http://schemas.openxmlformats.org/officeDocument/2006/relationships/hyperlink" Target="https://doi.org/10.22034/IJCE.2020.250406.1220" TargetMode="External"/><Relationship Id="rId60" Type="http://schemas.openxmlformats.org/officeDocument/2006/relationships/hyperlink" Target="https://doi.org/10.31973/x9445d32" TargetMode="External"/><Relationship Id="rId65" Type="http://schemas.openxmlformats.org/officeDocument/2006/relationships/hyperlink" Target="https://www.ceeol.com/search/article-detail?id=1024379" TargetMode="External"/><Relationship Id="rId73" Type="http://schemas.openxmlformats.org/officeDocument/2006/relationships/hyperlink" Target="https://doi.org/10.1016/j.linged.2023.101250" TargetMode="External"/><Relationship Id="rId78" Type="http://schemas.openxmlformats.org/officeDocument/2006/relationships/hyperlink" Target="https://doi.org/10.30466/ijltr.2021.121045" TargetMode="External"/><Relationship Id="rId8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basu.academia.edu/Departments/Faculty_of_Humanities_Department_of_English_Language/Documents" TargetMode="External"/><Relationship Id="rId13" Type="http://schemas.openxmlformats.org/officeDocument/2006/relationships/hyperlink" Target="http://dx.doi.org/10.17507/tpls.0602.06" TargetMode="External"/><Relationship Id="rId18" Type="http://schemas.openxmlformats.org/officeDocument/2006/relationships/hyperlink" Target="https://doi.org/10.21928/juhd.v3n3y2017.pp578-583" TargetMode="External"/><Relationship Id="rId39" Type="http://schemas.openxmlformats.org/officeDocument/2006/relationships/hyperlink" Target="https://doi.org/10.1080/02188791.2019.1569892" TargetMode="External"/><Relationship Id="rId34" Type="http://schemas.openxmlformats.org/officeDocument/2006/relationships/hyperlink" Target="https://doi.org/10.17011/apples/urn.201804172107" TargetMode="External"/><Relationship Id="rId50" Type="http://schemas.openxmlformats.org/officeDocument/2006/relationships/hyperlink" Target="https://doi.org/10.25078/ijoss.v2i1.3920" TargetMode="External"/><Relationship Id="rId55" Type="http://schemas.openxmlformats.org/officeDocument/2006/relationships/hyperlink" Target="https://doi.org/10.1177/1477878519862547" TargetMode="External"/><Relationship Id="rId76" Type="http://schemas.openxmlformats.org/officeDocument/2006/relationships/hyperlink" Target="https://doi.org/10.2478/atd-2019-0014" TargetMode="External"/><Relationship Id="rId7" Type="http://schemas.openxmlformats.org/officeDocument/2006/relationships/endnotes" Target="endnotes.xml"/><Relationship Id="rId71" Type="http://schemas.openxmlformats.org/officeDocument/2006/relationships/hyperlink" Target="https://doi.org/10.1111/ijal.12301" TargetMode="External"/><Relationship Id="rId2" Type="http://schemas.openxmlformats.org/officeDocument/2006/relationships/numbering" Target="numbering.xml"/><Relationship Id="rId29" Type="http://schemas.openxmlformats.org/officeDocument/2006/relationships/hyperlink" Target="https://aaasjournals.com/index.php/ajashss/index" TargetMode="External"/><Relationship Id="rId24" Type="http://schemas.openxmlformats.org/officeDocument/2006/relationships/hyperlink" Target="https://doi.org/11.41698/cbej.v52i99.2369" TargetMode="External"/><Relationship Id="rId40" Type="http://schemas.openxmlformats.org/officeDocument/2006/relationships/hyperlink" Target="https://doi.org/10.1016/j.lcsi.2019.02.006" TargetMode="External"/><Relationship Id="rId45" Type="http://schemas.openxmlformats.org/officeDocument/2006/relationships/hyperlink" Target="https://doi.org/10.1007/s40299-024-00906-6" TargetMode="External"/><Relationship Id="rId66" Type="http://schemas.openxmlformats.org/officeDocument/2006/relationships/hyperlink" Target="https://doi.org/10.14500/kujhss.v6n1y2023.pp310-318" TargetMode="External"/><Relationship Id="rId61" Type="http://schemas.openxmlformats.org/officeDocument/2006/relationships/hyperlink" Target="https://doi.org/10.1080/23265507.2016.1266693" TargetMode="External"/><Relationship Id="rId8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F9255-EEEC-443B-838D-97A52062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120</Pages>
  <Words>28793</Words>
  <Characters>164126</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Ftm UTD</dc:creator>
  <cp:keywords/>
  <dc:description/>
  <cp:lastModifiedBy>Mobin</cp:lastModifiedBy>
  <cp:revision>3</cp:revision>
  <dcterms:created xsi:type="dcterms:W3CDTF">2026-01-25T13:34:00Z</dcterms:created>
  <dcterms:modified xsi:type="dcterms:W3CDTF">2026-01-25T13:54:00Z</dcterms:modified>
</cp:coreProperties>
</file>